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440" w:rsidRPr="0031288E" w:rsidRDefault="00AC2440" w:rsidP="00AC2440">
      <w:pPr>
        <w:pStyle w:val="CRCoverPage"/>
        <w:tabs>
          <w:tab w:val="right" w:pos="9639"/>
        </w:tabs>
        <w:jc w:val="both"/>
        <w:rPr>
          <w:b/>
          <w:i/>
          <w:noProof/>
          <w:sz w:val="22"/>
          <w:szCs w:val="22"/>
          <w:lang w:val="en-US"/>
        </w:rPr>
      </w:pPr>
      <w:r>
        <w:rPr>
          <w:b/>
          <w:noProof/>
          <w:sz w:val="22"/>
          <w:szCs w:val="22"/>
        </w:rPr>
        <w:t>3GPP TSG-RAN WG4 Meeting #90</w:t>
      </w:r>
      <w:r w:rsidRPr="0031288E">
        <w:rPr>
          <w:b/>
          <w:i/>
          <w:noProof/>
          <w:sz w:val="22"/>
          <w:szCs w:val="22"/>
        </w:rPr>
        <w:t xml:space="preserve"> </w:t>
      </w:r>
      <w:r w:rsidRPr="0031288E">
        <w:rPr>
          <w:b/>
          <w:i/>
          <w:noProof/>
          <w:sz w:val="22"/>
          <w:szCs w:val="22"/>
        </w:rPr>
        <w:tab/>
      </w:r>
      <w:r w:rsidR="001565AD" w:rsidRPr="001565AD">
        <w:rPr>
          <w:b/>
          <w:i/>
          <w:noProof/>
          <w:sz w:val="22"/>
          <w:szCs w:val="22"/>
        </w:rPr>
        <w:t>R4-1900381</w:t>
      </w:r>
    </w:p>
    <w:p w:rsidR="00D142BC" w:rsidRPr="00AC2440" w:rsidRDefault="00AC2440" w:rsidP="00AC2440">
      <w:pPr>
        <w:tabs>
          <w:tab w:val="left" w:pos="1985"/>
        </w:tabs>
        <w:jc w:val="both"/>
        <w:rPr>
          <w:rFonts w:ascii="Arial" w:hAnsi="Arial" w:cs="Arial"/>
          <w:b/>
          <w:noProof/>
          <w:sz w:val="22"/>
          <w:szCs w:val="22"/>
        </w:rPr>
      </w:pPr>
      <w:r w:rsidRPr="004F5A32">
        <w:rPr>
          <w:rFonts w:ascii="Arial" w:hAnsi="Arial" w:cs="Arial"/>
          <w:b/>
          <w:noProof/>
          <w:sz w:val="22"/>
          <w:szCs w:val="22"/>
        </w:rPr>
        <w:t>Athens</w:t>
      </w:r>
      <w:r w:rsidRPr="0031288E">
        <w:rPr>
          <w:rFonts w:ascii="Arial" w:hAnsi="Arial" w:cs="Arial"/>
          <w:b/>
          <w:noProof/>
          <w:sz w:val="22"/>
          <w:szCs w:val="22"/>
        </w:rPr>
        <w:t xml:space="preserve">, </w:t>
      </w:r>
      <w:r>
        <w:rPr>
          <w:rFonts w:ascii="Arial" w:hAnsi="Arial" w:cs="Arial"/>
          <w:b/>
          <w:noProof/>
          <w:sz w:val="22"/>
          <w:szCs w:val="22"/>
        </w:rPr>
        <w:t>Greece</w:t>
      </w:r>
      <w:r w:rsidRPr="0031288E">
        <w:rPr>
          <w:rFonts w:ascii="Arial" w:hAnsi="Arial" w:cs="Arial"/>
          <w:b/>
          <w:noProof/>
          <w:sz w:val="22"/>
          <w:szCs w:val="22"/>
        </w:rPr>
        <w:t xml:space="preserve">, </w:t>
      </w:r>
      <w:r>
        <w:rPr>
          <w:rFonts w:ascii="Arial" w:hAnsi="Arial" w:cs="Arial"/>
          <w:b/>
          <w:noProof/>
          <w:sz w:val="22"/>
          <w:szCs w:val="22"/>
        </w:rPr>
        <w:t>Feburary 25 – March 1</w:t>
      </w:r>
      <w:r w:rsidR="00A804AA">
        <w:rPr>
          <w:rFonts w:ascii="Arial" w:hAnsi="Arial" w:cs="Arial"/>
          <w:b/>
          <w:noProof/>
          <w:sz w:val="22"/>
          <w:szCs w:val="22"/>
        </w:rPr>
        <w:t>, 2019</w:t>
      </w:r>
    </w:p>
    <w:p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0" w:name="Source"/>
      <w:bookmarkEnd w:id="0"/>
      <w:r w:rsidR="00AC2440" w:rsidRPr="00AC2440">
        <w:rPr>
          <w:rFonts w:ascii="Arial" w:hAnsi="Arial" w:cs="Arial"/>
          <w:b/>
          <w:sz w:val="24"/>
        </w:rPr>
        <w:t>10.5</w:t>
      </w:r>
    </w:p>
    <w:p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t>Intel Corporation</w:t>
      </w:r>
    </w:p>
    <w:p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5A4D6E" w:rsidRPr="005A4D6E">
        <w:rPr>
          <w:rFonts w:ascii="Arial" w:hAnsi="Arial" w:cs="Arial"/>
          <w:b/>
          <w:sz w:val="24"/>
        </w:rPr>
        <w:t>Further discussion on NR V2X RRM characteristics</w:t>
      </w:r>
    </w:p>
    <w:p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rsidR="004B515E" w:rsidRPr="00224A01" w:rsidRDefault="004B515E" w:rsidP="009C2D12">
      <w:pPr>
        <w:pStyle w:val="Heading1"/>
        <w:rPr>
          <w:lang w:val="en-US" w:eastAsia="zh-CN"/>
        </w:rPr>
      </w:pPr>
      <w:r w:rsidRPr="00224A01">
        <w:rPr>
          <w:lang w:val="en-US" w:eastAsia="zh-CN"/>
        </w:rPr>
        <w:t>Introduction</w:t>
      </w:r>
    </w:p>
    <w:p w:rsidR="00730047" w:rsidRPr="00730047" w:rsidRDefault="00E41DB4" w:rsidP="00730047">
      <w:pPr>
        <w:jc w:val="both"/>
      </w:pPr>
      <w:r w:rsidRPr="00730047">
        <w:t>The RAN1 WG started work on the new Rel-16 NR V2X SI with the goal to introduce support of V2X communication technology for NR. RAN1 is discussing the basic physical layer design assumptions and se</w:t>
      </w:r>
      <w:r w:rsidR="00730047" w:rsidRPr="00730047">
        <w:t xml:space="preserve">nd LS to RAN4 to clarify the </w:t>
      </w:r>
      <w:r w:rsidRPr="00730047">
        <w:t>RRM design assumptions that could be ap</w:t>
      </w:r>
      <w:r w:rsidR="00730047" w:rsidRPr="00730047">
        <w:t xml:space="preserve">plied to the NR V2X studies [1]. In particular, </w:t>
      </w:r>
      <w:r w:rsidR="00730047" w:rsidRPr="00730047">
        <w:rPr>
          <w:lang w:val="en-US"/>
        </w:rPr>
        <w:t>RAN1 asks RAN4 to confirm the validity of the evaluation assumptions or provide guidance on appropriate values for:</w:t>
      </w:r>
    </w:p>
    <w:p w:rsidR="00730047" w:rsidRPr="00B82070" w:rsidRDefault="00730047" w:rsidP="00730047">
      <w:pPr>
        <w:pStyle w:val="ListParagraph"/>
        <w:numPr>
          <w:ilvl w:val="0"/>
          <w:numId w:val="6"/>
        </w:numPr>
        <w:spacing w:before="0" w:after="120"/>
        <w:jc w:val="both"/>
        <w:rPr>
          <w:rFonts w:ascii="Times New Roman" w:eastAsia="SimSun" w:hAnsi="Times New Roman"/>
          <w:sz w:val="20"/>
          <w:szCs w:val="20"/>
        </w:rPr>
      </w:pPr>
      <w:r w:rsidRPr="00B82070">
        <w:rPr>
          <w:rFonts w:ascii="Times New Roman" w:eastAsia="SimSun" w:hAnsi="Times New Roman"/>
          <w:sz w:val="20"/>
          <w:szCs w:val="20"/>
        </w:rPr>
        <w:t>AGC settling time.</w:t>
      </w:r>
    </w:p>
    <w:p w:rsidR="00730047" w:rsidRPr="00B82070" w:rsidRDefault="00730047" w:rsidP="00730047">
      <w:pPr>
        <w:pStyle w:val="ListParagraph"/>
        <w:numPr>
          <w:ilvl w:val="0"/>
          <w:numId w:val="6"/>
        </w:numPr>
        <w:spacing w:before="0" w:after="120"/>
        <w:jc w:val="both"/>
        <w:rPr>
          <w:rFonts w:ascii="Times New Roman" w:eastAsia="SimSun" w:hAnsi="Times New Roman"/>
          <w:sz w:val="20"/>
          <w:szCs w:val="20"/>
        </w:rPr>
      </w:pPr>
      <w:r w:rsidRPr="00B82070">
        <w:rPr>
          <w:rFonts w:ascii="Times New Roman" w:eastAsia="SimSun" w:hAnsi="Times New Roman"/>
          <w:sz w:val="20"/>
          <w:szCs w:val="20"/>
        </w:rPr>
        <w:t>TX/RX switching time</w:t>
      </w:r>
    </w:p>
    <w:p w:rsidR="00730047" w:rsidRPr="00B82070" w:rsidRDefault="00730047" w:rsidP="00730047">
      <w:pPr>
        <w:pStyle w:val="ListParagraph"/>
        <w:numPr>
          <w:ilvl w:val="0"/>
          <w:numId w:val="6"/>
        </w:numPr>
        <w:spacing w:before="0" w:after="120"/>
        <w:jc w:val="both"/>
        <w:rPr>
          <w:rFonts w:ascii="Times New Roman" w:eastAsia="SimSun" w:hAnsi="Times New Roman"/>
          <w:sz w:val="20"/>
          <w:szCs w:val="20"/>
        </w:rPr>
      </w:pPr>
      <w:r w:rsidRPr="00B82070">
        <w:rPr>
          <w:rFonts w:ascii="Times New Roman" w:eastAsia="SimSun" w:hAnsi="Times New Roman"/>
          <w:sz w:val="20"/>
          <w:szCs w:val="20"/>
        </w:rPr>
        <w:t>Timing error between a UE and its synchronization reference.</w:t>
      </w:r>
    </w:p>
    <w:p w:rsidR="00730047" w:rsidRPr="00B82070" w:rsidRDefault="00730047" w:rsidP="00844D93">
      <w:pPr>
        <w:pStyle w:val="ListParagraph"/>
        <w:numPr>
          <w:ilvl w:val="0"/>
          <w:numId w:val="6"/>
        </w:numPr>
        <w:spacing w:before="0" w:after="120"/>
        <w:jc w:val="both"/>
        <w:rPr>
          <w:rFonts w:ascii="Times New Roman" w:eastAsia="SimSun" w:hAnsi="Times New Roman"/>
          <w:sz w:val="20"/>
          <w:szCs w:val="20"/>
        </w:rPr>
      </w:pPr>
      <w:r w:rsidRPr="00B82070">
        <w:rPr>
          <w:rFonts w:ascii="Times New Roman" w:eastAsia="SimSun" w:hAnsi="Times New Roman"/>
          <w:sz w:val="20"/>
          <w:szCs w:val="20"/>
        </w:rPr>
        <w:t>Frequency error between a UE and its synchronization reference.</w:t>
      </w:r>
    </w:p>
    <w:p w:rsidR="00B82070" w:rsidRDefault="00B82070" w:rsidP="00B82070">
      <w:pPr>
        <w:spacing w:before="0"/>
        <w:jc w:val="both"/>
      </w:pPr>
      <w:r w:rsidRPr="00B82070">
        <w:t xml:space="preserve">In the </w:t>
      </w:r>
      <w:r>
        <w:t>reply LS [2], RAN4 provides the answers to above values as follows:</w:t>
      </w:r>
    </w:p>
    <w:tbl>
      <w:tblPr>
        <w:tblStyle w:val="TableGrid"/>
        <w:tblW w:w="0" w:type="auto"/>
        <w:tblLook w:val="04A0" w:firstRow="1" w:lastRow="0" w:firstColumn="1" w:lastColumn="0" w:noHBand="0" w:noVBand="1"/>
      </w:tblPr>
      <w:tblGrid>
        <w:gridCol w:w="9629"/>
      </w:tblGrid>
      <w:tr w:rsidR="00B82070" w:rsidTr="00B82070">
        <w:tc>
          <w:tcPr>
            <w:tcW w:w="9629" w:type="dxa"/>
          </w:tcPr>
          <w:p w:rsidR="00B82070" w:rsidRPr="00B82070" w:rsidRDefault="00B82070" w:rsidP="00B82070">
            <w:pPr>
              <w:pStyle w:val="Header"/>
              <w:spacing w:after="120"/>
              <w:ind w:left="360"/>
              <w:rPr>
                <w:rFonts w:ascii="Times New Roman" w:hAnsi="Times New Roman"/>
                <w:b w:val="0"/>
                <w:bCs/>
                <w:sz w:val="20"/>
                <w:lang w:eastAsia="ko-KR"/>
              </w:rPr>
            </w:pPr>
            <w:r w:rsidRPr="00B82070">
              <w:rPr>
                <w:rFonts w:ascii="Times New Roman" w:hAnsi="Times New Roman"/>
                <w:bCs/>
                <w:sz w:val="20"/>
                <w:lang w:eastAsia="ko-KR"/>
              </w:rPr>
              <w:t>Answer 1: The below RF/RRM parameters are recommended for NR V2X evaluation in RAN1</w:t>
            </w:r>
          </w:p>
          <w:p w:rsidR="00B82070" w:rsidRPr="00B82070" w:rsidRDefault="00B82070" w:rsidP="00B82070">
            <w:pPr>
              <w:pStyle w:val="ListParagraph"/>
              <w:numPr>
                <w:ilvl w:val="0"/>
                <w:numId w:val="6"/>
              </w:numPr>
              <w:spacing w:before="0" w:after="120"/>
              <w:ind w:left="720" w:hanging="357"/>
              <w:rPr>
                <w:rFonts w:ascii="Times New Roman" w:hAnsi="Times New Roman"/>
                <w:color w:val="000000"/>
                <w:sz w:val="20"/>
                <w:szCs w:val="20"/>
                <w:lang w:val="en-GB" w:eastAsia="zh-CN"/>
              </w:rPr>
            </w:pPr>
            <w:r w:rsidRPr="00B82070">
              <w:rPr>
                <w:rFonts w:ascii="Times New Roman" w:hAnsi="Times New Roman"/>
                <w:color w:val="000000"/>
                <w:sz w:val="20"/>
                <w:szCs w:val="20"/>
                <w:lang w:val="en-GB" w:eastAsia="zh-CN"/>
              </w:rPr>
              <w:t>AGC settling time</w:t>
            </w:r>
          </w:p>
          <w:p w:rsidR="00B82070" w:rsidRPr="00B82070" w:rsidRDefault="00B82070" w:rsidP="00B82070">
            <w:pPr>
              <w:pStyle w:val="ListParagraph"/>
              <w:numPr>
                <w:ilvl w:val="1"/>
                <w:numId w:val="6"/>
              </w:numPr>
              <w:spacing w:before="0" w:after="120"/>
              <w:ind w:left="1440"/>
              <w:rPr>
                <w:rFonts w:ascii="Times New Roman" w:hAnsi="Times New Roman"/>
                <w:color w:val="000000"/>
                <w:sz w:val="20"/>
                <w:szCs w:val="20"/>
                <w:lang w:val="en-GB" w:eastAsia="zh-CN"/>
              </w:rPr>
            </w:pPr>
            <w:r w:rsidRPr="00B82070">
              <w:rPr>
                <w:rFonts w:ascii="Times New Roman" w:hAnsi="Times New Roman"/>
                <w:color w:val="000000"/>
                <w:sz w:val="20"/>
                <w:szCs w:val="20"/>
                <w:lang w:val="en-GB" w:eastAsia="zh-CN"/>
              </w:rPr>
              <w:t xml:space="preserve">At least AGC settling time = 1 OFDM symbol for 15 kHz SCS is feasible. </w:t>
            </w:r>
          </w:p>
          <w:p w:rsidR="00B82070" w:rsidRPr="009641CA" w:rsidRDefault="00B82070" w:rsidP="00B82070">
            <w:pPr>
              <w:pStyle w:val="ListParagraph"/>
              <w:numPr>
                <w:ilvl w:val="1"/>
                <w:numId w:val="6"/>
              </w:numPr>
              <w:spacing w:before="0" w:after="120"/>
              <w:ind w:left="1440"/>
              <w:rPr>
                <w:rFonts w:ascii="Times New Roman" w:hAnsi="Times New Roman"/>
                <w:color w:val="000000"/>
                <w:sz w:val="20"/>
                <w:szCs w:val="20"/>
                <w:highlight w:val="yellow"/>
                <w:lang w:val="en-GB" w:eastAsia="zh-CN"/>
              </w:rPr>
            </w:pPr>
            <w:r w:rsidRPr="009641CA">
              <w:rPr>
                <w:rFonts w:ascii="Times New Roman" w:hAnsi="Times New Roman"/>
                <w:color w:val="000000"/>
                <w:sz w:val="20"/>
                <w:szCs w:val="20"/>
                <w:highlight w:val="yellow"/>
                <w:lang w:val="en-GB" w:eastAsia="zh-CN"/>
              </w:rPr>
              <w:t>RAN4 will further study if smaller AGC time is achievable incl. 15 kHz SCS.</w:t>
            </w:r>
          </w:p>
          <w:p w:rsidR="00B82070" w:rsidRPr="00B82070" w:rsidRDefault="00B82070" w:rsidP="00B82070">
            <w:pPr>
              <w:pStyle w:val="ListParagraph"/>
              <w:numPr>
                <w:ilvl w:val="0"/>
                <w:numId w:val="6"/>
              </w:numPr>
              <w:spacing w:before="0" w:after="120"/>
              <w:ind w:left="720"/>
              <w:rPr>
                <w:rFonts w:ascii="Times New Roman" w:hAnsi="Times New Roman"/>
                <w:color w:val="000000"/>
                <w:sz w:val="20"/>
                <w:szCs w:val="20"/>
                <w:lang w:val="en-GB" w:eastAsia="zh-CN"/>
              </w:rPr>
            </w:pPr>
            <w:r w:rsidRPr="00B82070">
              <w:rPr>
                <w:rFonts w:ascii="Times New Roman" w:hAnsi="Times New Roman"/>
                <w:color w:val="000000"/>
                <w:sz w:val="20"/>
                <w:szCs w:val="20"/>
                <w:lang w:val="en-GB" w:eastAsia="zh-CN"/>
              </w:rPr>
              <w:t>TX/RX switching time</w:t>
            </w:r>
          </w:p>
          <w:p w:rsidR="00B82070" w:rsidRPr="00B82070" w:rsidRDefault="00B82070" w:rsidP="00B82070">
            <w:pPr>
              <w:pStyle w:val="ListParagraph"/>
              <w:numPr>
                <w:ilvl w:val="1"/>
                <w:numId w:val="6"/>
              </w:numPr>
              <w:spacing w:before="0" w:after="120"/>
              <w:ind w:left="1440"/>
              <w:rPr>
                <w:rFonts w:ascii="Times New Roman" w:hAnsi="Times New Roman"/>
                <w:color w:val="000000"/>
                <w:sz w:val="20"/>
                <w:szCs w:val="20"/>
                <w:lang w:val="en-GB" w:eastAsia="zh-CN"/>
              </w:rPr>
            </w:pPr>
            <w:r w:rsidRPr="00B82070">
              <w:rPr>
                <w:rFonts w:ascii="Times New Roman" w:hAnsi="Times New Roman"/>
                <w:color w:val="000000"/>
                <w:sz w:val="20"/>
                <w:szCs w:val="20"/>
                <w:lang w:val="en-GB" w:eastAsia="zh-CN"/>
              </w:rPr>
              <w:t>FR1: 13 us</w:t>
            </w:r>
          </w:p>
          <w:p w:rsidR="00B82070" w:rsidRPr="00B82070" w:rsidRDefault="00B82070" w:rsidP="00B82070">
            <w:pPr>
              <w:pStyle w:val="ListParagraph"/>
              <w:numPr>
                <w:ilvl w:val="1"/>
                <w:numId w:val="6"/>
              </w:numPr>
              <w:spacing w:before="0" w:after="120"/>
              <w:ind w:left="1440"/>
              <w:rPr>
                <w:rFonts w:ascii="Times New Roman" w:hAnsi="Times New Roman"/>
                <w:color w:val="000000"/>
                <w:sz w:val="20"/>
                <w:szCs w:val="20"/>
                <w:lang w:val="en-GB" w:eastAsia="zh-CN"/>
              </w:rPr>
            </w:pPr>
            <w:r w:rsidRPr="00B82070">
              <w:rPr>
                <w:rFonts w:ascii="Times New Roman" w:hAnsi="Times New Roman"/>
                <w:color w:val="000000"/>
                <w:sz w:val="20"/>
                <w:szCs w:val="20"/>
                <w:lang w:val="en-GB" w:eastAsia="zh-CN"/>
              </w:rPr>
              <w:t xml:space="preserve">FR2: 7us </w:t>
            </w:r>
          </w:p>
          <w:p w:rsidR="00B82070" w:rsidRPr="00B82070" w:rsidRDefault="00B82070" w:rsidP="00B82070">
            <w:pPr>
              <w:pStyle w:val="ListParagraph"/>
              <w:numPr>
                <w:ilvl w:val="0"/>
                <w:numId w:val="6"/>
              </w:numPr>
              <w:spacing w:before="0" w:after="120"/>
              <w:ind w:left="720"/>
              <w:rPr>
                <w:rFonts w:ascii="Times New Roman" w:hAnsi="Times New Roman"/>
                <w:color w:val="000000"/>
                <w:sz w:val="20"/>
                <w:szCs w:val="20"/>
                <w:lang w:val="en-GB" w:eastAsia="zh-CN"/>
              </w:rPr>
            </w:pPr>
            <w:r w:rsidRPr="00B82070">
              <w:rPr>
                <w:rFonts w:ascii="Times New Roman" w:hAnsi="Times New Roman"/>
                <w:color w:val="000000"/>
                <w:sz w:val="20"/>
                <w:szCs w:val="20"/>
                <w:lang w:val="en-GB" w:eastAsia="zh-CN"/>
              </w:rPr>
              <w:t>Timing error between a UE and its synchronization reference.</w:t>
            </w:r>
          </w:p>
          <w:p w:rsidR="00B82070" w:rsidRPr="00B82070" w:rsidRDefault="00B82070" w:rsidP="00B82070">
            <w:pPr>
              <w:pStyle w:val="ListParagraph"/>
              <w:numPr>
                <w:ilvl w:val="1"/>
                <w:numId w:val="6"/>
              </w:numPr>
              <w:spacing w:before="0" w:after="120"/>
              <w:ind w:left="1440"/>
              <w:rPr>
                <w:rFonts w:ascii="Times New Roman" w:hAnsi="Times New Roman"/>
                <w:color w:val="000000"/>
                <w:sz w:val="20"/>
                <w:szCs w:val="20"/>
                <w:lang w:val="en-GB" w:eastAsia="zh-CN"/>
              </w:rPr>
            </w:pPr>
            <w:r w:rsidRPr="00B82070">
              <w:rPr>
                <w:rFonts w:ascii="Times New Roman" w:hAnsi="Times New Roman"/>
                <w:color w:val="000000"/>
                <w:sz w:val="20"/>
                <w:szCs w:val="20"/>
                <w:lang w:val="en-GB" w:eastAsia="zh-CN"/>
              </w:rPr>
              <w:t xml:space="preserve">FR1: </w:t>
            </w:r>
          </w:p>
          <w:p w:rsidR="00B82070" w:rsidRPr="00B82070" w:rsidRDefault="00B82070" w:rsidP="00B82070">
            <w:pPr>
              <w:pStyle w:val="ListParagraph"/>
              <w:numPr>
                <w:ilvl w:val="2"/>
                <w:numId w:val="6"/>
              </w:numPr>
              <w:spacing w:before="0" w:after="120"/>
              <w:ind w:left="2160"/>
              <w:rPr>
                <w:rFonts w:ascii="Times New Roman" w:hAnsi="Times New Roman"/>
                <w:color w:val="000000"/>
                <w:sz w:val="20"/>
                <w:szCs w:val="20"/>
                <w:lang w:val="en-GB" w:eastAsia="zh-CN"/>
              </w:rPr>
            </w:pPr>
            <w:r w:rsidRPr="00B82070">
              <w:rPr>
                <w:rFonts w:ascii="Times New Roman" w:hAnsi="Times New Roman"/>
                <w:color w:val="000000"/>
                <w:sz w:val="20"/>
                <w:szCs w:val="20"/>
                <w:lang w:val="en-GB" w:eastAsia="zh-CN"/>
              </w:rPr>
              <w:t>gNB synchronization reference source: reuse NR UE UL transmission timing error defined in Table 7.1.2-1 in TS38.133</w:t>
            </w:r>
          </w:p>
          <w:p w:rsidR="00B82070" w:rsidRPr="009641CA" w:rsidRDefault="00B82070" w:rsidP="00B82070">
            <w:pPr>
              <w:pStyle w:val="ListParagraph"/>
              <w:numPr>
                <w:ilvl w:val="2"/>
                <w:numId w:val="6"/>
              </w:numPr>
              <w:spacing w:before="0" w:after="120"/>
              <w:ind w:left="2160"/>
              <w:rPr>
                <w:rFonts w:ascii="Times New Roman" w:hAnsi="Times New Roman"/>
                <w:color w:val="000000"/>
                <w:sz w:val="20"/>
                <w:szCs w:val="20"/>
                <w:highlight w:val="yellow"/>
                <w:lang w:val="en-GB" w:eastAsia="zh-CN"/>
              </w:rPr>
            </w:pPr>
            <w:r w:rsidRPr="009641CA">
              <w:rPr>
                <w:rFonts w:ascii="Times New Roman" w:hAnsi="Times New Roman"/>
                <w:color w:val="000000"/>
                <w:sz w:val="20"/>
                <w:szCs w:val="20"/>
                <w:highlight w:val="yellow"/>
                <w:lang w:val="en-GB" w:eastAsia="zh-CN"/>
              </w:rPr>
              <w:t>GNSS synchronization reference source: FFS</w:t>
            </w:r>
          </w:p>
          <w:p w:rsidR="00B82070" w:rsidRPr="009641CA" w:rsidRDefault="00B82070" w:rsidP="00B82070">
            <w:pPr>
              <w:pStyle w:val="ListParagraph"/>
              <w:numPr>
                <w:ilvl w:val="2"/>
                <w:numId w:val="6"/>
              </w:numPr>
              <w:spacing w:before="0" w:after="120"/>
              <w:ind w:left="2160"/>
              <w:rPr>
                <w:rFonts w:ascii="Times New Roman" w:hAnsi="Times New Roman"/>
                <w:color w:val="000000"/>
                <w:sz w:val="20"/>
                <w:szCs w:val="20"/>
                <w:highlight w:val="yellow"/>
                <w:lang w:val="en-GB" w:eastAsia="zh-CN"/>
              </w:rPr>
            </w:pPr>
            <w:r w:rsidRPr="009641CA">
              <w:rPr>
                <w:rFonts w:ascii="Times New Roman" w:hAnsi="Times New Roman"/>
                <w:color w:val="000000"/>
                <w:sz w:val="20"/>
                <w:szCs w:val="20"/>
                <w:highlight w:val="yellow"/>
                <w:lang w:val="en-GB" w:eastAsia="zh-CN"/>
              </w:rPr>
              <w:t>NR UE synchronization reference source: FFS</w:t>
            </w:r>
          </w:p>
          <w:p w:rsidR="00B82070" w:rsidRPr="009641CA" w:rsidRDefault="00B82070" w:rsidP="00B82070">
            <w:pPr>
              <w:pStyle w:val="ListParagraph"/>
              <w:numPr>
                <w:ilvl w:val="1"/>
                <w:numId w:val="6"/>
              </w:numPr>
              <w:spacing w:before="0" w:after="120"/>
              <w:ind w:left="1440"/>
              <w:rPr>
                <w:rFonts w:ascii="Times New Roman" w:hAnsi="Times New Roman"/>
                <w:color w:val="000000"/>
                <w:sz w:val="20"/>
                <w:szCs w:val="20"/>
                <w:highlight w:val="yellow"/>
                <w:lang w:eastAsia="zh-CN"/>
              </w:rPr>
            </w:pPr>
            <w:r w:rsidRPr="009641CA">
              <w:rPr>
                <w:rFonts w:ascii="Times New Roman" w:hAnsi="Times New Roman"/>
                <w:color w:val="000000"/>
                <w:sz w:val="20"/>
                <w:szCs w:val="20"/>
                <w:highlight w:val="yellow"/>
                <w:lang w:val="en-GB" w:eastAsia="zh-CN"/>
              </w:rPr>
              <w:t xml:space="preserve">FR2: FFS </w:t>
            </w:r>
          </w:p>
          <w:p w:rsidR="00B82070" w:rsidRDefault="00B82070" w:rsidP="00B82070">
            <w:pPr>
              <w:spacing w:before="0"/>
            </w:pPr>
            <w:r w:rsidRPr="00B82070">
              <w:rPr>
                <w:color w:val="000000"/>
                <w:lang w:eastAsia="zh-CN"/>
              </w:rPr>
              <w:t>For the case of NR V2X UE synchronization reference source, RAN4 needs inputs on the RAN1 physical layer design before the Timing and Frequency errors can be estimated</w:t>
            </w:r>
          </w:p>
        </w:tc>
      </w:tr>
    </w:tbl>
    <w:p w:rsidR="00B82070" w:rsidRPr="00B82070" w:rsidRDefault="00B82070" w:rsidP="00B82070">
      <w:pPr>
        <w:spacing w:before="0"/>
        <w:jc w:val="both"/>
      </w:pPr>
    </w:p>
    <w:p w:rsidR="00E41DB4" w:rsidRPr="00730047" w:rsidRDefault="00E41DB4" w:rsidP="00E41DB4">
      <w:r w:rsidRPr="00730047">
        <w:t xml:space="preserve">In this contribution we provide </w:t>
      </w:r>
      <w:r w:rsidR="00B82070">
        <w:t xml:space="preserve">further discussion </w:t>
      </w:r>
      <w:r w:rsidRPr="00730047">
        <w:t xml:space="preserve">on the </w:t>
      </w:r>
      <w:r w:rsidR="00807801">
        <w:t>NR V2X</w:t>
      </w:r>
      <w:r w:rsidR="00807801" w:rsidRPr="00730047">
        <w:t xml:space="preserve"> </w:t>
      </w:r>
      <w:r w:rsidR="00730047" w:rsidRPr="00730047">
        <w:t xml:space="preserve">AGC settling time and timing </w:t>
      </w:r>
      <w:proofErr w:type="gramStart"/>
      <w:r w:rsidR="00730047" w:rsidRPr="00730047">
        <w:t xml:space="preserve">error </w:t>
      </w:r>
      <w:r w:rsidRPr="00730047">
        <w:t>.</w:t>
      </w:r>
      <w:proofErr w:type="gramEnd"/>
    </w:p>
    <w:p w:rsidR="0093161F" w:rsidRDefault="00E41DB4" w:rsidP="00F00497">
      <w:pPr>
        <w:pStyle w:val="Heading1"/>
        <w:rPr>
          <w:lang w:val="en-US"/>
        </w:rPr>
      </w:pPr>
      <w:r>
        <w:rPr>
          <w:lang w:val="en-US"/>
        </w:rPr>
        <w:lastRenderedPageBreak/>
        <w:t>Discussion</w:t>
      </w:r>
    </w:p>
    <w:p w:rsidR="00E41DB4" w:rsidRPr="00032905" w:rsidRDefault="00E41DB4" w:rsidP="00E41DB4">
      <w:pPr>
        <w:pStyle w:val="Heading2"/>
        <w:rPr>
          <w:lang w:val="en-US"/>
        </w:rPr>
      </w:pPr>
      <w:r w:rsidRPr="00032905">
        <w:rPr>
          <w:lang w:val="en-US"/>
        </w:rPr>
        <w:t>AGC settling time</w:t>
      </w:r>
    </w:p>
    <w:p w:rsidR="00E41DB4" w:rsidRPr="00032905" w:rsidRDefault="00E41DB4" w:rsidP="00E41DB4">
      <w:pPr>
        <w:jc w:val="both"/>
      </w:pPr>
      <w:r w:rsidRPr="00032905">
        <w:t xml:space="preserve">In LTE V2X, the assumptions on AGC design are as follows: </w:t>
      </w:r>
    </w:p>
    <w:p w:rsidR="00807801" w:rsidRDefault="00E41DB4" w:rsidP="00023DD2">
      <w:pPr>
        <w:numPr>
          <w:ilvl w:val="0"/>
          <w:numId w:val="9"/>
        </w:numPr>
        <w:jc w:val="both"/>
      </w:pPr>
      <w:r w:rsidRPr="00032905">
        <w:t>UE employs an AGC implementation based on energy estimation in time domain</w:t>
      </w:r>
    </w:p>
    <w:p w:rsidR="00E41DB4" w:rsidRPr="00032905" w:rsidRDefault="00807801" w:rsidP="00023DD2">
      <w:pPr>
        <w:numPr>
          <w:ilvl w:val="0"/>
          <w:numId w:val="9"/>
        </w:numPr>
        <w:jc w:val="both"/>
      </w:pPr>
      <w:r>
        <w:t xml:space="preserve">AGC estimation is done separately for each RX </w:t>
      </w:r>
      <w:proofErr w:type="spellStart"/>
      <w:r>
        <w:t>subframe</w:t>
      </w:r>
      <w:proofErr w:type="spellEnd"/>
    </w:p>
    <w:p w:rsidR="00E41DB4" w:rsidRPr="00032905" w:rsidRDefault="00E41DB4" w:rsidP="00023DD2">
      <w:pPr>
        <w:numPr>
          <w:ilvl w:val="0"/>
          <w:numId w:val="9"/>
        </w:numPr>
        <w:jc w:val="both"/>
      </w:pPr>
      <w:r w:rsidRPr="00032905">
        <w:t>AGC settling time is one LTE symbol (up to 70us) [</w:t>
      </w:r>
      <w:r w:rsidR="00AF33CC">
        <w:t>3</w:t>
      </w:r>
      <w:r w:rsidRPr="00032905">
        <w:t>].</w:t>
      </w:r>
    </w:p>
    <w:p w:rsidR="00E41DB4" w:rsidRPr="001C73C4" w:rsidRDefault="00E41DB4" w:rsidP="00E41DB4">
      <w:pPr>
        <w:jc w:val="both"/>
      </w:pPr>
      <w:r w:rsidRPr="001C73C4">
        <w:t xml:space="preserve">For the design of AGC settling time, </w:t>
      </w:r>
      <w:r w:rsidR="00F55C34">
        <w:t xml:space="preserve">we think it should </w:t>
      </w:r>
      <w:r w:rsidRPr="001C73C4">
        <w:t xml:space="preserve">include the following </w:t>
      </w:r>
      <w:r w:rsidR="001C3227" w:rsidRPr="001C73C4">
        <w:t>components</w:t>
      </w:r>
      <w:r w:rsidR="001C3227">
        <w:t>:</w:t>
      </w:r>
    </w:p>
    <w:p w:rsidR="00F55C34" w:rsidRPr="001C73C4" w:rsidRDefault="00F55C34" w:rsidP="00F55C34">
      <w:pPr>
        <w:ind w:left="288"/>
        <w:jc w:val="both"/>
      </w:pPr>
      <w:r w:rsidRPr="001C73C4">
        <w:t xml:space="preserve">(a) </w:t>
      </w:r>
      <w:proofErr w:type="gramStart"/>
      <w:r>
        <w:t>time</w:t>
      </w:r>
      <w:proofErr w:type="gramEnd"/>
      <w:r>
        <w:t xml:space="preserve"> offset from the start of the OFDM symbol to account for </w:t>
      </w:r>
      <w:r w:rsidR="00807801">
        <w:t xml:space="preserve">maximum </w:t>
      </w:r>
      <w:r>
        <w:t>signal propagation delay</w:t>
      </w:r>
      <w:r w:rsidR="00807801">
        <w:t xml:space="preserve"> from different UEs</w:t>
      </w:r>
      <w:r w:rsidRPr="001C73C4">
        <w:t xml:space="preserve"> </w:t>
      </w:r>
    </w:p>
    <w:p w:rsidR="00E41DB4" w:rsidRPr="001C73C4" w:rsidRDefault="00E41DB4" w:rsidP="00F55C34">
      <w:pPr>
        <w:ind w:left="288"/>
        <w:jc w:val="both"/>
      </w:pPr>
      <w:r w:rsidRPr="001C73C4">
        <w:t>(</w:t>
      </w:r>
      <w:r w:rsidR="00F55C34">
        <w:t>b</w:t>
      </w:r>
      <w:r w:rsidRPr="001C73C4">
        <w:t xml:space="preserve">) </w:t>
      </w:r>
      <w:proofErr w:type="gramStart"/>
      <w:r w:rsidRPr="001C73C4">
        <w:t>time</w:t>
      </w:r>
      <w:proofErr w:type="gramEnd"/>
      <w:r w:rsidRPr="001C73C4">
        <w:t xml:space="preserve"> to receive the window of samples used for estimating the gain, </w:t>
      </w:r>
    </w:p>
    <w:p w:rsidR="00E41DB4" w:rsidRPr="001C73C4" w:rsidRDefault="00E41DB4" w:rsidP="00943D04">
      <w:pPr>
        <w:ind w:left="288"/>
        <w:jc w:val="both"/>
      </w:pPr>
      <w:r w:rsidRPr="001C73C4">
        <w:t>(</w:t>
      </w:r>
      <w:r w:rsidR="00F55C34">
        <w:t>c</w:t>
      </w:r>
      <w:r w:rsidRPr="001C73C4">
        <w:t xml:space="preserve">) </w:t>
      </w:r>
      <w:proofErr w:type="gramStart"/>
      <w:r w:rsidRPr="001C73C4">
        <w:t>time</w:t>
      </w:r>
      <w:proofErr w:type="gramEnd"/>
      <w:r w:rsidRPr="001C73C4">
        <w:t xml:space="preserve"> for estimating and programming the desired gain setting, </w:t>
      </w:r>
    </w:p>
    <w:p w:rsidR="00407C2F" w:rsidRDefault="00E41DB4" w:rsidP="00DB076D">
      <w:pPr>
        <w:ind w:left="288"/>
        <w:jc w:val="both"/>
      </w:pPr>
      <w:r w:rsidRPr="001C73C4">
        <w:t>(</w:t>
      </w:r>
      <w:r w:rsidR="00F55C34">
        <w:t>d</w:t>
      </w:r>
      <w:r w:rsidRPr="001C73C4">
        <w:t xml:space="preserve">) </w:t>
      </w:r>
      <w:proofErr w:type="gramStart"/>
      <w:r w:rsidRPr="001C73C4">
        <w:t>time</w:t>
      </w:r>
      <w:proofErr w:type="gramEnd"/>
      <w:r w:rsidRPr="001C73C4">
        <w:t xml:space="preserve"> </w:t>
      </w:r>
      <w:r w:rsidR="001C3227">
        <w:t xml:space="preserve">for </w:t>
      </w:r>
      <w:r w:rsidRPr="001C73C4">
        <w:t xml:space="preserve">the gain setting taking into effect. </w:t>
      </w:r>
    </w:p>
    <w:p w:rsidR="003D1EE1" w:rsidRDefault="00276856" w:rsidP="002679CE">
      <w:pPr>
        <w:ind w:left="288"/>
        <w:jc w:val="center"/>
      </w:pPr>
      <w:r>
        <w:object w:dxaOrig="12241" w:dyaOrig="4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pt;height:140.25pt" o:ole="">
            <v:imagedata r:id="rId12" o:title=""/>
          </v:shape>
          <o:OLEObject Type="Embed" ProgID="Visio.Drawing.15" ShapeID="_x0000_i1025" DrawAspect="Content" ObjectID="_1611737225" r:id="rId13"/>
        </w:object>
      </w:r>
    </w:p>
    <w:p w:rsidR="003D1EE1" w:rsidRPr="003D1EE1" w:rsidRDefault="003D1EE1" w:rsidP="003D1EE1">
      <w:pPr>
        <w:pStyle w:val="Caption"/>
        <w:jc w:val="center"/>
        <w:rPr>
          <w:sz w:val="20"/>
        </w:rPr>
      </w:pPr>
      <w:r w:rsidRPr="003D1EE1">
        <w:rPr>
          <w:sz w:val="20"/>
        </w:rPr>
        <w:t xml:space="preserve">Figure </w:t>
      </w:r>
      <w:r w:rsidRPr="003D1EE1">
        <w:rPr>
          <w:sz w:val="20"/>
        </w:rPr>
        <w:fldChar w:fldCharType="begin"/>
      </w:r>
      <w:r w:rsidRPr="003D1EE1">
        <w:rPr>
          <w:sz w:val="20"/>
        </w:rPr>
        <w:instrText xml:space="preserve"> SEQ Figure \* ARABIC </w:instrText>
      </w:r>
      <w:r w:rsidRPr="003D1EE1">
        <w:rPr>
          <w:sz w:val="20"/>
        </w:rPr>
        <w:fldChar w:fldCharType="separate"/>
      </w:r>
      <w:r w:rsidR="00900C25">
        <w:rPr>
          <w:noProof/>
          <w:sz w:val="20"/>
        </w:rPr>
        <w:t>1</w:t>
      </w:r>
      <w:r w:rsidRPr="003D1EE1">
        <w:rPr>
          <w:sz w:val="20"/>
        </w:rPr>
        <w:fldChar w:fldCharType="end"/>
      </w:r>
      <w:r w:rsidRPr="003D1EE1">
        <w:rPr>
          <w:sz w:val="20"/>
        </w:rPr>
        <w:t>: Components for AGC settling time</w:t>
      </w:r>
    </w:p>
    <w:p w:rsidR="00900C25" w:rsidRDefault="00F55C34" w:rsidP="00E41DB4">
      <w:pPr>
        <w:jc w:val="both"/>
      </w:pPr>
      <w:r>
        <w:t>The duration of period (a) can be estimated as CP/2</w:t>
      </w:r>
      <w:r w:rsidR="00807801">
        <w:t xml:space="preserve"> which is aligned with previous LTE assumptions on the maximum allowed propagation delay</w:t>
      </w:r>
      <w:r>
        <w:t xml:space="preserve">. </w:t>
      </w:r>
      <w:r w:rsidR="001C3227">
        <w:t>For (</w:t>
      </w:r>
      <w:r>
        <w:t>b</w:t>
      </w:r>
      <w:r w:rsidR="001C3227">
        <w:t>), one first needs to know the accuracy criterion for energy estimation, i.e., X dB to the actual average energy with probability of Y. With the accuracy criterion, the time duration (</w:t>
      </w:r>
      <w:r>
        <w:t>b</w:t>
      </w:r>
      <w:r w:rsidR="001C3227">
        <w:t xml:space="preserve">) can be derived by </w:t>
      </w:r>
      <w:r>
        <w:t>link-</w:t>
      </w:r>
      <w:r w:rsidR="001C3227">
        <w:t>level simulations [</w:t>
      </w:r>
      <w:r w:rsidR="00900C25">
        <w:t>3]. Our simulation results show that for</w:t>
      </w:r>
      <w:r w:rsidR="00FD550C">
        <w:t xml:space="preserve"> 1</w:t>
      </w:r>
      <w:r w:rsidR="00900C25">
        <w:t xml:space="preserve">0 MHz system, roughly 10us window of samples </w:t>
      </w:r>
      <w:r w:rsidR="00807801">
        <w:t xml:space="preserve">is </w:t>
      </w:r>
      <w:r w:rsidR="00900C25">
        <w:t xml:space="preserve">sufficient to estimate the energy of the signal with high accuracy. </w:t>
      </w:r>
      <w:r w:rsidR="00900C25">
        <w:fldChar w:fldCharType="begin"/>
      </w:r>
      <w:r w:rsidR="00900C25">
        <w:instrText xml:space="preserve"> REF _Ref378833372 \h </w:instrText>
      </w:r>
      <w:r w:rsidR="00900C25">
        <w:fldChar w:fldCharType="separate"/>
      </w:r>
      <w:r w:rsidR="00900C25">
        <w:t xml:space="preserve">Figure </w:t>
      </w:r>
      <w:r w:rsidR="00900C25">
        <w:rPr>
          <w:noProof/>
        </w:rPr>
        <w:t>1</w:t>
      </w:r>
      <w:r w:rsidR="00900C25">
        <w:fldChar w:fldCharType="end"/>
      </w:r>
      <w:r w:rsidR="00900C25">
        <w:t xml:space="preserve"> plots the probability that the energy estimate is out of </w:t>
      </w:r>
      <w:r w:rsidR="00807801">
        <w:t>±</w:t>
      </w:r>
      <w:r w:rsidR="00900C25">
        <w:t xml:space="preserve">3dB of the actual average energy as a function of time (fs * number of samples used for energy estimation), i.e., </w:t>
      </w:r>
      <w:proofErr w:type="spellStart"/>
      <w:proofErr w:type="gramStart"/>
      <w:r w:rsidR="00900C25">
        <w:t>Pr</w:t>
      </w:r>
      <w:proofErr w:type="spellEnd"/>
      <w:r w:rsidR="00900C25">
        <w:t>(</w:t>
      </w:r>
      <w:proofErr w:type="gramEnd"/>
      <w:r w:rsidR="00900C25">
        <w:t>|Estimated energy in dB – True energy in dB| &gt; 3 dB). Results are shown for CP-OFDM signal with QPSK modulation without additive noise</w:t>
      </w:r>
      <w:r w:rsidR="001565AD">
        <w:t xml:space="preserve"> and with full channel bandwidth source allocation</w:t>
      </w:r>
      <w:r w:rsidR="00900C25">
        <w:t>.</w:t>
      </w:r>
    </w:p>
    <w:p w:rsidR="00900C25" w:rsidRDefault="00133067" w:rsidP="00900C25">
      <w:pPr>
        <w:jc w:val="center"/>
      </w:pPr>
      <w:r>
        <w:rPr>
          <w:noProof/>
          <w:lang w:val="en-US" w:eastAsia="zh-CN"/>
        </w:rPr>
        <w:drawing>
          <wp:inline distT="0" distB="0" distL="0" distR="0">
            <wp:extent cx="3352801" cy="2514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SSI_energy_estimator_10MHz.png"/>
                    <pic:cNvPicPr/>
                  </pic:nvPicPr>
                  <pic:blipFill>
                    <a:blip r:embed="rId14">
                      <a:extLst>
                        <a:ext uri="{28A0092B-C50C-407E-A947-70E740481C1C}">
                          <a14:useLocalDpi xmlns:a14="http://schemas.microsoft.com/office/drawing/2010/main" val="0"/>
                        </a:ext>
                      </a:extLst>
                    </a:blip>
                    <a:stretch>
                      <a:fillRect/>
                    </a:stretch>
                  </pic:blipFill>
                  <pic:spPr>
                    <a:xfrm>
                      <a:off x="0" y="0"/>
                      <a:ext cx="3388806" cy="2541604"/>
                    </a:xfrm>
                    <a:prstGeom prst="rect">
                      <a:avLst/>
                    </a:prstGeom>
                  </pic:spPr>
                </pic:pic>
              </a:graphicData>
            </a:graphic>
          </wp:inline>
        </w:drawing>
      </w:r>
    </w:p>
    <w:p w:rsidR="00900C25" w:rsidRPr="00900C25" w:rsidRDefault="00900C25" w:rsidP="002679CE">
      <w:pPr>
        <w:pStyle w:val="Caption"/>
        <w:keepNext w:val="0"/>
        <w:jc w:val="center"/>
        <w:rPr>
          <w:sz w:val="20"/>
        </w:rPr>
      </w:pPr>
      <w:r w:rsidRPr="00900C25">
        <w:rPr>
          <w:sz w:val="20"/>
        </w:rPr>
        <w:t xml:space="preserve">Figure </w:t>
      </w:r>
      <w:r w:rsidRPr="00900C25">
        <w:rPr>
          <w:sz w:val="20"/>
        </w:rPr>
        <w:fldChar w:fldCharType="begin"/>
      </w:r>
      <w:r w:rsidRPr="00900C25">
        <w:rPr>
          <w:sz w:val="20"/>
        </w:rPr>
        <w:instrText xml:space="preserve"> SEQ Figure \* ARABIC </w:instrText>
      </w:r>
      <w:r w:rsidRPr="00900C25">
        <w:rPr>
          <w:sz w:val="20"/>
        </w:rPr>
        <w:fldChar w:fldCharType="separate"/>
      </w:r>
      <w:r w:rsidRPr="00900C25">
        <w:rPr>
          <w:sz w:val="20"/>
        </w:rPr>
        <w:t>2</w:t>
      </w:r>
      <w:r w:rsidRPr="00900C25">
        <w:rPr>
          <w:sz w:val="20"/>
        </w:rPr>
        <w:fldChar w:fldCharType="end"/>
      </w:r>
      <w:r w:rsidRPr="00900C25">
        <w:rPr>
          <w:sz w:val="20"/>
        </w:rPr>
        <w:t>: Probability that energy estimate is out of 3dB threshold as compared with true energy.</w:t>
      </w:r>
    </w:p>
    <w:p w:rsidR="00032905" w:rsidRDefault="001C3227" w:rsidP="00E41DB4">
      <w:pPr>
        <w:jc w:val="both"/>
      </w:pPr>
      <w:r>
        <w:lastRenderedPageBreak/>
        <w:t>For (</w:t>
      </w:r>
      <w:r w:rsidR="00F55C34">
        <w:t>c</w:t>
      </w:r>
      <w:proofErr w:type="gramStart"/>
      <w:r>
        <w:t>)+</w:t>
      </w:r>
      <w:proofErr w:type="gramEnd"/>
      <w:r>
        <w:t>(</w:t>
      </w:r>
      <w:r w:rsidR="00F55C34">
        <w:t>d</w:t>
      </w:r>
      <w:r>
        <w:t xml:space="preserve">), </w:t>
      </w:r>
      <w:r w:rsidR="00C84C6D">
        <w:t>the time for programming the AGC gain plus the time for applying the gain, it</w:t>
      </w:r>
      <w:r w:rsidR="00E41DB4" w:rsidRPr="001C73C4">
        <w:t xml:space="preserve"> </w:t>
      </w:r>
      <w:r w:rsidR="00C84C6D">
        <w:t xml:space="preserve">eventually </w:t>
      </w:r>
      <w:r w:rsidR="00E41DB4" w:rsidRPr="001C73C4">
        <w:t xml:space="preserve">depends on UE implementation. </w:t>
      </w:r>
      <w:r w:rsidR="00936351">
        <w:t>It could include the latency time</w:t>
      </w:r>
      <w:r w:rsidR="00DE085C">
        <w:t xml:space="preserve"> in which</w:t>
      </w:r>
      <w:r w:rsidR="00936351">
        <w:t xml:space="preserve"> </w:t>
      </w:r>
      <w:r w:rsidR="00DE085C">
        <w:t xml:space="preserve">signals pass </w:t>
      </w:r>
      <w:r w:rsidR="00DE085C" w:rsidRPr="00DE085C">
        <w:t>from antenna to Di</w:t>
      </w:r>
      <w:r w:rsidR="00DE085C">
        <w:t>gital RF</w:t>
      </w:r>
      <w:r w:rsidR="00807801">
        <w:t xml:space="preserve"> which can depend on CBW/SCS</w:t>
      </w:r>
      <w:r w:rsidR="00DE085C">
        <w:t>. It also includes the AGC gain calculation time in firmware</w:t>
      </w:r>
      <w:r w:rsidR="008B3A40">
        <w:t xml:space="preserve">. The latter one may have different implementations and potentially </w:t>
      </w:r>
      <w:r w:rsidR="00807801">
        <w:t xml:space="preserve">may depend on the </w:t>
      </w:r>
      <w:r w:rsidR="00DE085C">
        <w:t>number of carriers</w:t>
      </w:r>
      <w:r w:rsidR="00807801">
        <w:t>,</w:t>
      </w:r>
      <w:r w:rsidR="00DE085C">
        <w:t xml:space="preserve"> number of Rx</w:t>
      </w:r>
      <w:r w:rsidR="00807801">
        <w:t xml:space="preserve"> chains and other factors</w:t>
      </w:r>
      <w:r w:rsidR="00DE085C">
        <w:t>.</w:t>
      </w:r>
    </w:p>
    <w:p w:rsidR="00DE085C" w:rsidRPr="00900C25" w:rsidRDefault="003678C7" w:rsidP="00E41DB4">
      <w:pPr>
        <w:jc w:val="both"/>
      </w:pPr>
      <w:r>
        <w:t xml:space="preserve">Thus the AGC settling time depends on SCS, signal bandwidth, number of Rx, and number of carriers. </w:t>
      </w:r>
      <w:r w:rsidR="00807801">
        <w:t xml:space="preserve">Same time, using different AGC settling time values for different scenarios may complicate the V2X system design and we recommend using a single values which would allow sufficient AGC accuracy under various target uses cases. </w:t>
      </w:r>
      <w:r>
        <w:t xml:space="preserve">Based on our </w:t>
      </w:r>
      <w:r w:rsidR="00807801">
        <w:t xml:space="preserve">assessment </w:t>
      </w:r>
      <w:r>
        <w:t xml:space="preserve">the worst case </w:t>
      </w:r>
      <w:r w:rsidR="00807801">
        <w:t>AGC settling time corresponding to the case of</w:t>
      </w:r>
      <w:r>
        <w:t xml:space="preserve"> </w:t>
      </w:r>
      <w:r w:rsidR="00807801">
        <w:t xml:space="preserve">4 CC x </w:t>
      </w:r>
      <w:r>
        <w:t>10 MHz BW, 4 R</w:t>
      </w:r>
      <w:r w:rsidR="00807801">
        <w:t xml:space="preserve"> </w:t>
      </w:r>
      <w:r w:rsidR="001565AD">
        <w:t xml:space="preserve">is </w:t>
      </w:r>
      <w:r w:rsidR="00807801">
        <w:t xml:space="preserve">~35us which is roughly aligned with a single </w:t>
      </w:r>
      <w:r w:rsidR="001565AD">
        <w:t xml:space="preserve">symbol </w:t>
      </w:r>
      <w:r w:rsidR="00807801">
        <w:t xml:space="preserve">duration for </w:t>
      </w:r>
      <w:proofErr w:type="gramStart"/>
      <w:r w:rsidR="001565AD">
        <w:t>30kHz</w:t>
      </w:r>
      <w:proofErr w:type="gramEnd"/>
      <w:r w:rsidR="001565AD">
        <w:t xml:space="preserve"> SCS.</w:t>
      </w:r>
    </w:p>
    <w:p w:rsidR="003542BB" w:rsidRPr="003678C7" w:rsidRDefault="00C84C6D" w:rsidP="003678C7">
      <w:pPr>
        <w:ind w:left="1276" w:hanging="1276"/>
        <w:jc w:val="both"/>
        <w:rPr>
          <w:b/>
        </w:rPr>
      </w:pPr>
      <w:r w:rsidRPr="003678C7">
        <w:rPr>
          <w:b/>
        </w:rPr>
        <w:t>Observation</w:t>
      </w:r>
      <w:r w:rsidR="00755A86" w:rsidRPr="003678C7">
        <w:rPr>
          <w:b/>
        </w:rPr>
        <w:t xml:space="preserve"> #1</w:t>
      </w:r>
      <w:r w:rsidRPr="003678C7">
        <w:rPr>
          <w:b/>
        </w:rPr>
        <w:t xml:space="preserve">: </w:t>
      </w:r>
      <w:r w:rsidR="008B3A40">
        <w:rPr>
          <w:b/>
        </w:rPr>
        <w:t xml:space="preserve">Depending on implementation </w:t>
      </w:r>
      <w:r w:rsidRPr="003678C7">
        <w:rPr>
          <w:b/>
        </w:rPr>
        <w:t xml:space="preserve">AGC settling </w:t>
      </w:r>
      <w:r w:rsidR="003678C7" w:rsidRPr="003678C7">
        <w:rPr>
          <w:b/>
        </w:rPr>
        <w:t xml:space="preserve">time </w:t>
      </w:r>
      <w:r w:rsidR="008B3A40">
        <w:rPr>
          <w:b/>
        </w:rPr>
        <w:t xml:space="preserve">may depend on such factors as </w:t>
      </w:r>
      <w:r w:rsidR="00807801">
        <w:rPr>
          <w:b/>
        </w:rPr>
        <w:t>CBW</w:t>
      </w:r>
      <w:r w:rsidR="003678C7" w:rsidRPr="003678C7">
        <w:rPr>
          <w:b/>
        </w:rPr>
        <w:t>, number of Rx</w:t>
      </w:r>
      <w:r w:rsidR="00807801">
        <w:rPr>
          <w:b/>
        </w:rPr>
        <w:t xml:space="preserve"> chains</w:t>
      </w:r>
      <w:r w:rsidR="003678C7" w:rsidRPr="003678C7">
        <w:rPr>
          <w:b/>
        </w:rPr>
        <w:t xml:space="preserve">, and number of </w:t>
      </w:r>
      <w:r w:rsidR="00807801">
        <w:rPr>
          <w:b/>
        </w:rPr>
        <w:t>CCs</w:t>
      </w:r>
      <w:r w:rsidR="003542BB" w:rsidRPr="003678C7">
        <w:rPr>
          <w:b/>
        </w:rPr>
        <w:t>.</w:t>
      </w:r>
    </w:p>
    <w:p w:rsidR="003678C7" w:rsidRDefault="003678C7" w:rsidP="003678C7">
      <w:pPr>
        <w:ind w:left="1276" w:hanging="1276"/>
        <w:jc w:val="both"/>
        <w:rPr>
          <w:b/>
        </w:rPr>
      </w:pPr>
      <w:r>
        <w:rPr>
          <w:b/>
        </w:rPr>
        <w:t>Proposal</w:t>
      </w:r>
      <w:r w:rsidRPr="003678C7">
        <w:rPr>
          <w:b/>
        </w:rPr>
        <w:t xml:space="preserve"> #1:</w:t>
      </w:r>
      <w:r w:rsidR="00807801">
        <w:rPr>
          <w:b/>
        </w:rPr>
        <w:tab/>
      </w:r>
      <w:r>
        <w:rPr>
          <w:b/>
        </w:rPr>
        <w:t xml:space="preserve">For NR V2X, the </w:t>
      </w:r>
      <w:r w:rsidRPr="003678C7">
        <w:rPr>
          <w:b/>
        </w:rPr>
        <w:t>AGC settling time</w:t>
      </w:r>
      <w:r>
        <w:rPr>
          <w:b/>
        </w:rPr>
        <w:t xml:space="preserve"> for FR1 </w:t>
      </w:r>
      <w:r w:rsidR="00807801">
        <w:rPr>
          <w:b/>
        </w:rPr>
        <w:t>shall be at least 35us</w:t>
      </w:r>
      <w:r>
        <w:rPr>
          <w:b/>
        </w:rPr>
        <w:t>.</w:t>
      </w:r>
    </w:p>
    <w:p w:rsidR="00E41DB4" w:rsidRPr="002F319B" w:rsidRDefault="00E41DB4" w:rsidP="00E41DB4">
      <w:pPr>
        <w:pStyle w:val="Heading2"/>
      </w:pPr>
      <w:r w:rsidRPr="002F319B">
        <w:t>Timing error</w:t>
      </w:r>
    </w:p>
    <w:p w:rsidR="00E41DB4" w:rsidRPr="009D6D16" w:rsidRDefault="00E41DB4" w:rsidP="00E41DB4">
      <w:pPr>
        <w:jc w:val="both"/>
      </w:pPr>
      <w:r w:rsidRPr="009D6D16">
        <w:t xml:space="preserve">The </w:t>
      </w:r>
      <w:r>
        <w:t xml:space="preserve">timing error requirement can be different in NR V2X provided different synchronization reference sources. In V2X content, there are three types of synchronization reference sources, i.e., gNB, GNSS, and </w:t>
      </w:r>
      <w:r w:rsidRPr="009D6D16">
        <w:t>Sync Ref UE</w:t>
      </w:r>
      <w:r w:rsidR="00F9559B">
        <w:t xml:space="preserve"> (although the exact synch reference sources are not yet decided by RAN1, we assume that at least the same set of sources as in LTE can be anticipated).</w:t>
      </w:r>
    </w:p>
    <w:p w:rsidR="00E41DB4" w:rsidRDefault="00E41DB4" w:rsidP="00943D04">
      <w:pPr>
        <w:jc w:val="both"/>
      </w:pPr>
      <w:r w:rsidRPr="009D6D16">
        <w:t>For gNB based synchronization</w:t>
      </w:r>
      <w:r>
        <w:t xml:space="preserve">, the UL timing error defined in TS 38.133 section 7.1.2 can be reused. The detailed requirement is duplicated in </w:t>
      </w:r>
      <w:r>
        <w:fldChar w:fldCharType="begin"/>
      </w:r>
      <w:r>
        <w:instrText xml:space="preserve"> REF _Ref525840901 \h </w:instrText>
      </w:r>
      <w:r>
        <w:fldChar w:fldCharType="separate"/>
      </w:r>
      <w:r w:rsidRPr="00D93A8C">
        <w:t xml:space="preserve">Table </w:t>
      </w:r>
      <w:r w:rsidR="00153208">
        <w:t>2</w:t>
      </w:r>
      <w:r>
        <w:fldChar w:fldCharType="end"/>
      </w:r>
      <w:r>
        <w:t xml:space="preserve">. </w:t>
      </w:r>
    </w:p>
    <w:p w:rsidR="00E41DB4" w:rsidRPr="00D93A8C" w:rsidRDefault="00E41DB4" w:rsidP="00E41DB4">
      <w:pPr>
        <w:pStyle w:val="Caption"/>
        <w:jc w:val="center"/>
        <w:rPr>
          <w:sz w:val="20"/>
          <w:lang w:eastAsia="ja-JP" w:bidi="hi-IN"/>
        </w:rPr>
      </w:pPr>
      <w:bookmarkStart w:id="2" w:name="_Ref525840901"/>
      <w:r w:rsidRPr="002F319B">
        <w:rPr>
          <w:sz w:val="20"/>
        </w:rPr>
        <w:t xml:space="preserve">Table </w:t>
      </w:r>
      <w:r w:rsidRPr="002F319B">
        <w:rPr>
          <w:sz w:val="20"/>
        </w:rPr>
        <w:fldChar w:fldCharType="begin"/>
      </w:r>
      <w:r w:rsidRPr="002F319B">
        <w:rPr>
          <w:sz w:val="20"/>
        </w:rPr>
        <w:instrText xml:space="preserve"> SEQ Table \* ARABIC </w:instrText>
      </w:r>
      <w:r w:rsidRPr="002F319B">
        <w:rPr>
          <w:sz w:val="20"/>
        </w:rPr>
        <w:fldChar w:fldCharType="separate"/>
      </w:r>
      <w:r w:rsidR="00A52C94" w:rsidRPr="002F319B">
        <w:rPr>
          <w:noProof/>
          <w:sz w:val="20"/>
        </w:rPr>
        <w:t>2</w:t>
      </w:r>
      <w:r w:rsidRPr="002F319B">
        <w:rPr>
          <w:sz w:val="20"/>
        </w:rPr>
        <w:fldChar w:fldCharType="end"/>
      </w:r>
      <w:bookmarkEnd w:id="2"/>
      <w:r w:rsidRPr="002F319B">
        <w:rPr>
          <w:sz w:val="20"/>
        </w:rPr>
        <w:t>: Timing error limit for gNB based synchronization</w:t>
      </w:r>
    </w:p>
    <w:tbl>
      <w:tblPr>
        <w:tblStyle w:val="TableGrid"/>
        <w:tblW w:w="4163" w:type="pct"/>
        <w:jc w:val="center"/>
        <w:tblLook w:val="04A0" w:firstRow="1" w:lastRow="0" w:firstColumn="1" w:lastColumn="0" w:noHBand="0" w:noVBand="1"/>
      </w:tblPr>
      <w:tblGrid>
        <w:gridCol w:w="1279"/>
        <w:gridCol w:w="1539"/>
        <w:gridCol w:w="1541"/>
        <w:gridCol w:w="2168"/>
        <w:gridCol w:w="1490"/>
      </w:tblGrid>
      <w:tr w:rsidR="00E41DB4" w:rsidRPr="009D6D16" w:rsidTr="00A337EA">
        <w:trPr>
          <w:jc w:val="center"/>
        </w:trPr>
        <w:tc>
          <w:tcPr>
            <w:tcW w:w="798" w:type="pct"/>
            <w:hideMark/>
          </w:tcPr>
          <w:p w:rsidR="00E41DB4" w:rsidRPr="009D6D16" w:rsidRDefault="00E41DB4" w:rsidP="00943D04">
            <w:pPr>
              <w:pStyle w:val="TAH"/>
              <w:spacing w:before="60" w:after="60"/>
              <w:rPr>
                <w:rFonts w:ascii="Times New Roman" w:hAnsi="Times New Roman"/>
                <w:sz w:val="20"/>
                <w:lang w:eastAsia="zh-CN"/>
              </w:rPr>
            </w:pPr>
            <w:r w:rsidRPr="009D6D16">
              <w:rPr>
                <w:rFonts w:ascii="Times New Roman" w:hAnsi="Times New Roman"/>
                <w:sz w:val="20"/>
                <w:lang w:eastAsia="zh-CN"/>
              </w:rPr>
              <w:t>Frequency Range</w:t>
            </w:r>
          </w:p>
        </w:tc>
        <w:tc>
          <w:tcPr>
            <w:tcW w:w="960" w:type="pct"/>
            <w:hideMark/>
          </w:tcPr>
          <w:p w:rsidR="00E41DB4" w:rsidRPr="009D6D16" w:rsidRDefault="00E41DB4" w:rsidP="00943D04">
            <w:pPr>
              <w:pStyle w:val="TAH"/>
              <w:spacing w:before="60" w:after="60"/>
              <w:rPr>
                <w:rFonts w:ascii="Times New Roman" w:hAnsi="Times New Roman"/>
                <w:sz w:val="20"/>
              </w:rPr>
            </w:pPr>
            <w:r w:rsidRPr="009D6D16">
              <w:rPr>
                <w:rFonts w:ascii="Times New Roman" w:hAnsi="Times New Roman"/>
                <w:sz w:val="20"/>
                <w:lang w:eastAsia="zh-CN"/>
              </w:rPr>
              <w:t>SCS</w:t>
            </w:r>
            <w:r w:rsidRPr="009D6D16">
              <w:rPr>
                <w:rFonts w:ascii="Times New Roman" w:hAnsi="Times New Roman"/>
                <w:sz w:val="20"/>
              </w:rPr>
              <w:t xml:space="preserve"> </w:t>
            </w:r>
            <w:r w:rsidRPr="009D6D16">
              <w:rPr>
                <w:rFonts w:ascii="Times New Roman" w:hAnsi="Times New Roman"/>
                <w:sz w:val="20"/>
                <w:lang w:eastAsia="zh-CN"/>
              </w:rPr>
              <w:t>of</w:t>
            </w:r>
            <w:r w:rsidRPr="009D6D16">
              <w:rPr>
                <w:rFonts w:ascii="Times New Roman" w:hAnsi="Times New Roman"/>
                <w:sz w:val="20"/>
              </w:rPr>
              <w:t xml:space="preserve"> </w:t>
            </w:r>
            <w:r w:rsidRPr="009D6D16">
              <w:rPr>
                <w:rFonts w:ascii="Times New Roman" w:hAnsi="Times New Roman"/>
                <w:sz w:val="20"/>
                <w:lang w:eastAsia="zh-CN"/>
              </w:rPr>
              <w:t xml:space="preserve">SSB signals </w:t>
            </w:r>
            <w:r w:rsidRPr="009D6D16">
              <w:rPr>
                <w:rFonts w:ascii="Times New Roman" w:hAnsi="Times New Roman"/>
                <w:sz w:val="20"/>
              </w:rPr>
              <w:t>(KHz)</w:t>
            </w:r>
          </w:p>
        </w:tc>
        <w:tc>
          <w:tcPr>
            <w:tcW w:w="961" w:type="pct"/>
            <w:hideMark/>
          </w:tcPr>
          <w:p w:rsidR="00E41DB4" w:rsidRPr="009D6D16" w:rsidRDefault="00E41DB4" w:rsidP="00421A33">
            <w:pPr>
              <w:pStyle w:val="TAH"/>
              <w:spacing w:before="60" w:after="60"/>
              <w:rPr>
                <w:rFonts w:ascii="Times New Roman" w:hAnsi="Times New Roman"/>
                <w:sz w:val="20"/>
              </w:rPr>
            </w:pPr>
            <w:r w:rsidRPr="009D6D16">
              <w:rPr>
                <w:rFonts w:ascii="Times New Roman" w:hAnsi="Times New Roman"/>
                <w:sz w:val="20"/>
                <w:lang w:eastAsia="zh-CN"/>
              </w:rPr>
              <w:t>SCS of</w:t>
            </w:r>
            <w:r w:rsidRPr="009D6D16">
              <w:rPr>
                <w:rFonts w:ascii="Times New Roman" w:hAnsi="Times New Roman"/>
                <w:sz w:val="20"/>
              </w:rPr>
              <w:t xml:space="preserve"> </w:t>
            </w:r>
            <w:r w:rsidRPr="00DB076D">
              <w:rPr>
                <w:rFonts w:ascii="Times New Roman" w:hAnsi="Times New Roman"/>
                <w:sz w:val="20"/>
              </w:rPr>
              <w:t>sidelink</w:t>
            </w:r>
            <w:r w:rsidRPr="00DB076D">
              <w:rPr>
                <w:rFonts w:ascii="Times New Roman" w:hAnsi="Times New Roman"/>
                <w:sz w:val="20"/>
                <w:lang w:eastAsia="zh-CN"/>
              </w:rPr>
              <w:t xml:space="preserve"> </w:t>
            </w:r>
            <w:r w:rsidRPr="009D6D16">
              <w:rPr>
                <w:rFonts w:ascii="Times New Roman" w:hAnsi="Times New Roman"/>
                <w:sz w:val="20"/>
                <w:lang w:eastAsia="zh-CN"/>
              </w:rPr>
              <w:t>signals</w:t>
            </w:r>
            <w:r w:rsidR="00421A33">
              <w:rPr>
                <w:rFonts w:ascii="Times New Roman" w:hAnsi="Times New Roman"/>
                <w:sz w:val="20"/>
                <w:lang w:eastAsia="zh-CN"/>
              </w:rPr>
              <w:t xml:space="preserve"> </w:t>
            </w:r>
            <w:r w:rsidRPr="009D6D16">
              <w:rPr>
                <w:rFonts w:ascii="Times New Roman" w:hAnsi="Times New Roman"/>
                <w:sz w:val="20"/>
              </w:rPr>
              <w:t>(KHz)</w:t>
            </w:r>
          </w:p>
        </w:tc>
        <w:tc>
          <w:tcPr>
            <w:tcW w:w="1352" w:type="pct"/>
            <w:hideMark/>
          </w:tcPr>
          <w:p w:rsidR="00E41DB4" w:rsidRPr="009D6D16" w:rsidRDefault="00E41DB4" w:rsidP="00943D04">
            <w:pPr>
              <w:pStyle w:val="TAH"/>
              <w:spacing w:before="60" w:after="60"/>
              <w:rPr>
                <w:rFonts w:ascii="Times New Roman" w:hAnsi="Times New Roman"/>
                <w:sz w:val="20"/>
              </w:rPr>
            </w:pPr>
            <w:proofErr w:type="spellStart"/>
            <w:r w:rsidRPr="009D6D16">
              <w:rPr>
                <w:rFonts w:ascii="Times New Roman" w:hAnsi="Times New Roman"/>
                <w:sz w:val="20"/>
              </w:rPr>
              <w:t>T</w:t>
            </w:r>
            <w:r w:rsidRPr="009D6D16">
              <w:rPr>
                <w:rFonts w:ascii="Times New Roman" w:hAnsi="Times New Roman"/>
                <w:sz w:val="20"/>
                <w:vertAlign w:val="subscript"/>
              </w:rPr>
              <w:t>e</w:t>
            </w:r>
            <w:proofErr w:type="spellEnd"/>
          </w:p>
        </w:tc>
        <w:tc>
          <w:tcPr>
            <w:tcW w:w="929" w:type="pct"/>
          </w:tcPr>
          <w:p w:rsidR="00E41DB4" w:rsidRPr="009D6D16" w:rsidRDefault="00943D04" w:rsidP="00943D04">
            <w:pPr>
              <w:pStyle w:val="TAH"/>
              <w:spacing w:before="60" w:after="60"/>
              <w:rPr>
                <w:rFonts w:ascii="Times New Roman" w:hAnsi="Times New Roman"/>
                <w:sz w:val="20"/>
              </w:rPr>
            </w:pPr>
            <w:proofErr w:type="spellStart"/>
            <w:r w:rsidRPr="009D6D16">
              <w:rPr>
                <w:rFonts w:ascii="Times New Roman" w:hAnsi="Times New Roman"/>
                <w:sz w:val="20"/>
              </w:rPr>
              <w:t>T</w:t>
            </w:r>
            <w:r w:rsidRPr="009D6D16">
              <w:rPr>
                <w:rFonts w:ascii="Times New Roman" w:hAnsi="Times New Roman"/>
                <w:sz w:val="20"/>
                <w:vertAlign w:val="subscript"/>
              </w:rPr>
              <w:t>e</w:t>
            </w:r>
            <w:proofErr w:type="spellEnd"/>
            <w:r>
              <w:rPr>
                <w:rFonts w:ascii="Times New Roman" w:hAnsi="Times New Roman"/>
                <w:sz w:val="20"/>
              </w:rPr>
              <w:t>, [</w:t>
            </w:r>
            <w:r w:rsidR="00E41DB4">
              <w:rPr>
                <w:rFonts w:ascii="Times New Roman" w:hAnsi="Times New Roman"/>
                <w:sz w:val="20"/>
              </w:rPr>
              <w:t>µs</w:t>
            </w:r>
            <w:r>
              <w:rPr>
                <w:rFonts w:ascii="Times New Roman" w:hAnsi="Times New Roman"/>
                <w:sz w:val="20"/>
              </w:rPr>
              <w:t>]</w:t>
            </w:r>
          </w:p>
        </w:tc>
      </w:tr>
      <w:tr w:rsidR="001D4308" w:rsidRPr="009D6D16" w:rsidTr="00A337EA">
        <w:trPr>
          <w:jc w:val="center"/>
        </w:trPr>
        <w:tc>
          <w:tcPr>
            <w:tcW w:w="798" w:type="pct"/>
            <w:vMerge w:val="restart"/>
            <w:hideMark/>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1</w:t>
            </w:r>
          </w:p>
        </w:tc>
        <w:tc>
          <w:tcPr>
            <w:tcW w:w="960" w:type="pct"/>
            <w:vMerge w:val="restart"/>
            <w:hideMark/>
          </w:tcPr>
          <w:p w:rsidR="001D4308" w:rsidRPr="009D6D16" w:rsidRDefault="001D4308" w:rsidP="001D4308">
            <w:pPr>
              <w:pStyle w:val="TAC"/>
              <w:spacing w:before="60" w:after="60"/>
              <w:rPr>
                <w:rFonts w:ascii="Times New Roman" w:hAnsi="Times New Roman"/>
                <w:sz w:val="20"/>
              </w:rPr>
            </w:pPr>
            <w:r w:rsidRPr="009D6D16">
              <w:rPr>
                <w:rFonts w:ascii="Times New Roman" w:hAnsi="Times New Roman"/>
                <w:sz w:val="20"/>
                <w:lang w:eastAsia="zh-CN"/>
              </w:rPr>
              <w:t>15</w:t>
            </w:r>
          </w:p>
        </w:tc>
        <w:tc>
          <w:tcPr>
            <w:tcW w:w="961" w:type="pct"/>
            <w:hideMark/>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15</w:t>
            </w:r>
          </w:p>
        </w:tc>
        <w:tc>
          <w:tcPr>
            <w:tcW w:w="1352" w:type="pct"/>
            <w:hideMark/>
          </w:tcPr>
          <w:p w:rsidR="001D4308" w:rsidRPr="001D4308" w:rsidRDefault="001D4308" w:rsidP="001D4308">
            <w:pPr>
              <w:keepNext/>
              <w:keepLines/>
              <w:spacing w:after="0"/>
              <w:jc w:val="center"/>
            </w:pPr>
            <w:r w:rsidRPr="001D4308">
              <w:t>12*64*T</w:t>
            </w:r>
            <w:r w:rsidRPr="001D4308">
              <w:rPr>
                <w:vertAlign w:val="subscript"/>
              </w:rPr>
              <w:t>c</w:t>
            </w:r>
          </w:p>
        </w:tc>
        <w:tc>
          <w:tcPr>
            <w:tcW w:w="929" w:type="pct"/>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0.390</w:t>
            </w:r>
          </w:p>
        </w:tc>
        <w:bookmarkStart w:id="3" w:name="_GoBack"/>
        <w:bookmarkEnd w:id="3"/>
      </w:tr>
      <w:tr w:rsidR="001D4308" w:rsidRPr="009D6D16" w:rsidTr="00A337EA">
        <w:trPr>
          <w:jc w:val="center"/>
        </w:trPr>
        <w:tc>
          <w:tcPr>
            <w:tcW w:w="0" w:type="auto"/>
            <w:vMerge/>
            <w:hideMark/>
          </w:tcPr>
          <w:p w:rsidR="001D4308" w:rsidRPr="009D6D16" w:rsidRDefault="001D4308" w:rsidP="001D4308">
            <w:pPr>
              <w:spacing w:before="60" w:after="60"/>
              <w:rPr>
                <w:rFonts w:eastAsia="Times New Roman"/>
                <w:lang w:eastAsia="zh-CN"/>
              </w:rPr>
            </w:pPr>
          </w:p>
        </w:tc>
        <w:tc>
          <w:tcPr>
            <w:tcW w:w="0" w:type="auto"/>
            <w:vMerge/>
            <w:hideMark/>
          </w:tcPr>
          <w:p w:rsidR="001D4308" w:rsidRPr="009D6D16" w:rsidRDefault="001D4308" w:rsidP="001D4308">
            <w:pPr>
              <w:spacing w:before="60" w:after="60"/>
              <w:rPr>
                <w:rFonts w:eastAsia="Times New Roman"/>
              </w:rPr>
            </w:pPr>
          </w:p>
        </w:tc>
        <w:tc>
          <w:tcPr>
            <w:tcW w:w="961" w:type="pct"/>
            <w:hideMark/>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30</w:t>
            </w:r>
          </w:p>
        </w:tc>
        <w:tc>
          <w:tcPr>
            <w:tcW w:w="1352" w:type="pct"/>
            <w:hideMark/>
          </w:tcPr>
          <w:p w:rsidR="001D4308" w:rsidRPr="001D4308" w:rsidRDefault="001D4308" w:rsidP="001D4308">
            <w:pPr>
              <w:keepNext/>
              <w:keepLines/>
              <w:spacing w:after="0"/>
              <w:jc w:val="center"/>
            </w:pPr>
            <w:r w:rsidRPr="001D4308">
              <w:t>10*64*T</w:t>
            </w:r>
            <w:r w:rsidRPr="001D4308">
              <w:rPr>
                <w:vertAlign w:val="subscript"/>
              </w:rPr>
              <w:t>c</w:t>
            </w:r>
          </w:p>
        </w:tc>
        <w:tc>
          <w:tcPr>
            <w:tcW w:w="929" w:type="pct"/>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0.325</w:t>
            </w:r>
          </w:p>
        </w:tc>
      </w:tr>
      <w:tr w:rsidR="001D4308" w:rsidRPr="009D6D16" w:rsidTr="00A337EA">
        <w:trPr>
          <w:jc w:val="center"/>
        </w:trPr>
        <w:tc>
          <w:tcPr>
            <w:tcW w:w="0" w:type="auto"/>
            <w:vMerge/>
            <w:hideMark/>
          </w:tcPr>
          <w:p w:rsidR="001D4308" w:rsidRPr="009D6D16" w:rsidRDefault="001D4308" w:rsidP="001D4308">
            <w:pPr>
              <w:spacing w:before="60" w:after="60"/>
              <w:rPr>
                <w:rFonts w:eastAsia="Times New Roman"/>
                <w:lang w:eastAsia="zh-CN"/>
              </w:rPr>
            </w:pPr>
          </w:p>
        </w:tc>
        <w:tc>
          <w:tcPr>
            <w:tcW w:w="0" w:type="auto"/>
            <w:vMerge/>
            <w:hideMark/>
          </w:tcPr>
          <w:p w:rsidR="001D4308" w:rsidRPr="009D6D16" w:rsidRDefault="001D4308" w:rsidP="001D4308">
            <w:pPr>
              <w:spacing w:before="60" w:after="60"/>
              <w:rPr>
                <w:rFonts w:eastAsia="Times New Roman"/>
              </w:rPr>
            </w:pPr>
          </w:p>
        </w:tc>
        <w:tc>
          <w:tcPr>
            <w:tcW w:w="961" w:type="pct"/>
            <w:hideMark/>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60</w:t>
            </w:r>
          </w:p>
        </w:tc>
        <w:tc>
          <w:tcPr>
            <w:tcW w:w="1352" w:type="pct"/>
            <w:hideMark/>
          </w:tcPr>
          <w:p w:rsidR="001D4308" w:rsidRPr="001D4308" w:rsidRDefault="001D4308" w:rsidP="001D4308">
            <w:pPr>
              <w:keepNext/>
              <w:keepLines/>
              <w:spacing w:after="0"/>
              <w:jc w:val="center"/>
            </w:pPr>
            <w:r w:rsidRPr="001D4308">
              <w:t>10*64*T</w:t>
            </w:r>
            <w:r w:rsidRPr="001D4308">
              <w:rPr>
                <w:vertAlign w:val="subscript"/>
              </w:rPr>
              <w:t>c</w:t>
            </w:r>
          </w:p>
        </w:tc>
        <w:tc>
          <w:tcPr>
            <w:tcW w:w="929" w:type="pct"/>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0.325</w:t>
            </w:r>
          </w:p>
        </w:tc>
      </w:tr>
      <w:tr w:rsidR="001D4308" w:rsidRPr="009D6D16" w:rsidTr="00A337EA">
        <w:trPr>
          <w:jc w:val="center"/>
        </w:trPr>
        <w:tc>
          <w:tcPr>
            <w:tcW w:w="0" w:type="auto"/>
            <w:vMerge/>
            <w:hideMark/>
          </w:tcPr>
          <w:p w:rsidR="001D4308" w:rsidRPr="009D6D16" w:rsidRDefault="001D4308" w:rsidP="001D4308">
            <w:pPr>
              <w:spacing w:before="60" w:after="60"/>
              <w:rPr>
                <w:rFonts w:eastAsia="Times New Roman"/>
                <w:lang w:eastAsia="zh-CN"/>
              </w:rPr>
            </w:pPr>
          </w:p>
        </w:tc>
        <w:tc>
          <w:tcPr>
            <w:tcW w:w="960" w:type="pct"/>
            <w:vMerge w:val="restart"/>
            <w:hideMark/>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30</w:t>
            </w:r>
          </w:p>
        </w:tc>
        <w:tc>
          <w:tcPr>
            <w:tcW w:w="961" w:type="pct"/>
            <w:hideMark/>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15</w:t>
            </w:r>
          </w:p>
        </w:tc>
        <w:tc>
          <w:tcPr>
            <w:tcW w:w="1352" w:type="pct"/>
            <w:hideMark/>
          </w:tcPr>
          <w:p w:rsidR="001D4308" w:rsidRPr="001D4308" w:rsidRDefault="001D4308" w:rsidP="001D4308">
            <w:pPr>
              <w:keepNext/>
              <w:keepLines/>
              <w:spacing w:after="0"/>
              <w:jc w:val="center"/>
            </w:pPr>
            <w:r w:rsidRPr="001D4308">
              <w:t>8*64*T</w:t>
            </w:r>
            <w:r w:rsidRPr="001D4308">
              <w:rPr>
                <w:vertAlign w:val="subscript"/>
              </w:rPr>
              <w:t>c</w:t>
            </w:r>
          </w:p>
        </w:tc>
        <w:tc>
          <w:tcPr>
            <w:tcW w:w="929" w:type="pct"/>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0.260</w:t>
            </w:r>
          </w:p>
        </w:tc>
      </w:tr>
      <w:tr w:rsidR="001D4308" w:rsidRPr="009D6D16" w:rsidTr="00A337EA">
        <w:trPr>
          <w:jc w:val="center"/>
        </w:trPr>
        <w:tc>
          <w:tcPr>
            <w:tcW w:w="0" w:type="auto"/>
            <w:vMerge/>
            <w:hideMark/>
          </w:tcPr>
          <w:p w:rsidR="001D4308" w:rsidRPr="009D6D16" w:rsidRDefault="001D4308" w:rsidP="001D4308">
            <w:pPr>
              <w:spacing w:before="60" w:after="60"/>
              <w:rPr>
                <w:rFonts w:eastAsia="Times New Roman"/>
                <w:lang w:eastAsia="zh-CN"/>
              </w:rPr>
            </w:pPr>
          </w:p>
        </w:tc>
        <w:tc>
          <w:tcPr>
            <w:tcW w:w="0" w:type="auto"/>
            <w:vMerge/>
            <w:hideMark/>
          </w:tcPr>
          <w:p w:rsidR="001D4308" w:rsidRPr="009D6D16" w:rsidRDefault="001D4308" w:rsidP="001D4308">
            <w:pPr>
              <w:spacing w:before="60" w:after="60"/>
              <w:rPr>
                <w:rFonts w:eastAsia="Times New Roman"/>
                <w:lang w:eastAsia="zh-CN"/>
              </w:rPr>
            </w:pPr>
          </w:p>
        </w:tc>
        <w:tc>
          <w:tcPr>
            <w:tcW w:w="961" w:type="pct"/>
            <w:hideMark/>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30</w:t>
            </w:r>
          </w:p>
        </w:tc>
        <w:tc>
          <w:tcPr>
            <w:tcW w:w="1352" w:type="pct"/>
            <w:hideMark/>
          </w:tcPr>
          <w:p w:rsidR="001D4308" w:rsidRPr="001D4308" w:rsidRDefault="001D4308" w:rsidP="001D4308">
            <w:pPr>
              <w:keepNext/>
              <w:keepLines/>
              <w:spacing w:after="0"/>
              <w:jc w:val="center"/>
            </w:pPr>
            <w:r w:rsidRPr="001D4308">
              <w:t>8*64*T</w:t>
            </w:r>
            <w:r w:rsidRPr="001D4308">
              <w:rPr>
                <w:vertAlign w:val="subscript"/>
              </w:rPr>
              <w:t>c</w:t>
            </w:r>
          </w:p>
        </w:tc>
        <w:tc>
          <w:tcPr>
            <w:tcW w:w="929" w:type="pct"/>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0.260</w:t>
            </w:r>
          </w:p>
        </w:tc>
      </w:tr>
      <w:tr w:rsidR="001D4308" w:rsidRPr="009D6D16" w:rsidTr="00A337EA">
        <w:trPr>
          <w:jc w:val="center"/>
        </w:trPr>
        <w:tc>
          <w:tcPr>
            <w:tcW w:w="0" w:type="auto"/>
            <w:vMerge/>
            <w:hideMark/>
          </w:tcPr>
          <w:p w:rsidR="001D4308" w:rsidRPr="009D6D16" w:rsidRDefault="001D4308" w:rsidP="001D4308">
            <w:pPr>
              <w:spacing w:before="60" w:after="60"/>
              <w:rPr>
                <w:rFonts w:eastAsia="Times New Roman"/>
                <w:lang w:eastAsia="zh-CN"/>
              </w:rPr>
            </w:pPr>
          </w:p>
        </w:tc>
        <w:tc>
          <w:tcPr>
            <w:tcW w:w="0" w:type="auto"/>
            <w:vMerge/>
            <w:hideMark/>
          </w:tcPr>
          <w:p w:rsidR="001D4308" w:rsidRPr="009D6D16" w:rsidRDefault="001D4308" w:rsidP="001D4308">
            <w:pPr>
              <w:spacing w:before="60" w:after="60"/>
              <w:rPr>
                <w:rFonts w:eastAsia="Times New Roman"/>
                <w:lang w:eastAsia="zh-CN"/>
              </w:rPr>
            </w:pPr>
          </w:p>
        </w:tc>
        <w:tc>
          <w:tcPr>
            <w:tcW w:w="961" w:type="pct"/>
            <w:hideMark/>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60</w:t>
            </w:r>
          </w:p>
        </w:tc>
        <w:tc>
          <w:tcPr>
            <w:tcW w:w="1352" w:type="pct"/>
            <w:hideMark/>
          </w:tcPr>
          <w:p w:rsidR="001D4308" w:rsidRPr="001D4308" w:rsidRDefault="001D4308" w:rsidP="001D4308">
            <w:pPr>
              <w:keepNext/>
              <w:keepLines/>
              <w:spacing w:after="0"/>
              <w:jc w:val="center"/>
            </w:pPr>
            <w:r w:rsidRPr="001D4308">
              <w:t>7*64*T</w:t>
            </w:r>
            <w:r w:rsidRPr="001D4308">
              <w:rPr>
                <w:vertAlign w:val="subscript"/>
              </w:rPr>
              <w:t>c</w:t>
            </w:r>
          </w:p>
        </w:tc>
        <w:tc>
          <w:tcPr>
            <w:tcW w:w="929" w:type="pct"/>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0.228</w:t>
            </w:r>
          </w:p>
        </w:tc>
      </w:tr>
      <w:tr w:rsidR="001D4308" w:rsidRPr="009D6D16" w:rsidTr="00A337EA">
        <w:trPr>
          <w:trHeight w:val="197"/>
          <w:jc w:val="center"/>
        </w:trPr>
        <w:tc>
          <w:tcPr>
            <w:tcW w:w="798" w:type="pct"/>
            <w:vMerge w:val="restart"/>
            <w:hideMark/>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2</w:t>
            </w:r>
          </w:p>
        </w:tc>
        <w:tc>
          <w:tcPr>
            <w:tcW w:w="960" w:type="pct"/>
            <w:vMerge w:val="restart"/>
            <w:hideMark/>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120</w:t>
            </w:r>
          </w:p>
        </w:tc>
        <w:tc>
          <w:tcPr>
            <w:tcW w:w="961" w:type="pct"/>
            <w:hideMark/>
          </w:tcPr>
          <w:p w:rsidR="001D4308" w:rsidRPr="009D6D16" w:rsidRDefault="001D4308" w:rsidP="001D4308">
            <w:pPr>
              <w:pStyle w:val="TAC"/>
              <w:spacing w:before="60" w:after="60"/>
              <w:rPr>
                <w:rFonts w:ascii="Times New Roman" w:hAnsi="Times New Roman"/>
                <w:sz w:val="20"/>
              </w:rPr>
            </w:pPr>
            <w:r w:rsidRPr="009D6D16">
              <w:rPr>
                <w:rFonts w:ascii="Times New Roman" w:hAnsi="Times New Roman"/>
                <w:sz w:val="20"/>
                <w:lang w:eastAsia="zh-CN"/>
              </w:rPr>
              <w:t>60</w:t>
            </w:r>
          </w:p>
        </w:tc>
        <w:tc>
          <w:tcPr>
            <w:tcW w:w="1352" w:type="pct"/>
            <w:hideMark/>
          </w:tcPr>
          <w:p w:rsidR="001D4308" w:rsidRPr="001D4308" w:rsidRDefault="001D4308" w:rsidP="001D4308">
            <w:pPr>
              <w:keepNext/>
              <w:keepLines/>
              <w:spacing w:after="0"/>
              <w:jc w:val="center"/>
            </w:pPr>
            <w:r w:rsidRPr="001D4308">
              <w:t>3.5*64*T</w:t>
            </w:r>
            <w:r w:rsidRPr="001D4308">
              <w:rPr>
                <w:vertAlign w:val="subscript"/>
              </w:rPr>
              <w:t>c</w:t>
            </w:r>
          </w:p>
        </w:tc>
        <w:tc>
          <w:tcPr>
            <w:tcW w:w="929" w:type="pct"/>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0.113</w:t>
            </w:r>
          </w:p>
        </w:tc>
      </w:tr>
      <w:tr w:rsidR="001D4308" w:rsidRPr="009D6D16" w:rsidTr="00A337EA">
        <w:trPr>
          <w:jc w:val="center"/>
        </w:trPr>
        <w:tc>
          <w:tcPr>
            <w:tcW w:w="0" w:type="auto"/>
            <w:vMerge/>
            <w:hideMark/>
          </w:tcPr>
          <w:p w:rsidR="001D4308" w:rsidRPr="009D6D16" w:rsidRDefault="001D4308" w:rsidP="001D4308">
            <w:pPr>
              <w:spacing w:before="60" w:after="60"/>
              <w:rPr>
                <w:rFonts w:eastAsia="Times New Roman"/>
                <w:lang w:eastAsia="zh-CN"/>
              </w:rPr>
            </w:pPr>
          </w:p>
        </w:tc>
        <w:tc>
          <w:tcPr>
            <w:tcW w:w="0" w:type="auto"/>
            <w:vMerge/>
            <w:hideMark/>
          </w:tcPr>
          <w:p w:rsidR="001D4308" w:rsidRPr="009D6D16" w:rsidRDefault="001D4308" w:rsidP="001D4308">
            <w:pPr>
              <w:spacing w:before="60" w:after="60"/>
              <w:rPr>
                <w:rFonts w:eastAsia="Times New Roman"/>
                <w:lang w:eastAsia="zh-CN"/>
              </w:rPr>
            </w:pPr>
          </w:p>
        </w:tc>
        <w:tc>
          <w:tcPr>
            <w:tcW w:w="961" w:type="pct"/>
            <w:hideMark/>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120</w:t>
            </w:r>
          </w:p>
        </w:tc>
        <w:tc>
          <w:tcPr>
            <w:tcW w:w="1352" w:type="pct"/>
            <w:hideMark/>
          </w:tcPr>
          <w:p w:rsidR="001D4308" w:rsidRPr="001D4308" w:rsidRDefault="001D4308" w:rsidP="001D4308">
            <w:pPr>
              <w:keepNext/>
              <w:keepLines/>
              <w:spacing w:after="0"/>
              <w:jc w:val="center"/>
            </w:pPr>
            <w:r w:rsidRPr="001D4308">
              <w:t>3.5*64*T</w:t>
            </w:r>
            <w:r w:rsidRPr="001D4308">
              <w:rPr>
                <w:vertAlign w:val="subscript"/>
              </w:rPr>
              <w:t>c</w:t>
            </w:r>
          </w:p>
        </w:tc>
        <w:tc>
          <w:tcPr>
            <w:tcW w:w="929" w:type="pct"/>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0.113</w:t>
            </w:r>
          </w:p>
        </w:tc>
      </w:tr>
      <w:tr w:rsidR="001D4308" w:rsidRPr="009D6D16" w:rsidTr="00A337EA">
        <w:trPr>
          <w:jc w:val="center"/>
        </w:trPr>
        <w:tc>
          <w:tcPr>
            <w:tcW w:w="0" w:type="auto"/>
            <w:vMerge/>
            <w:hideMark/>
          </w:tcPr>
          <w:p w:rsidR="001D4308" w:rsidRPr="009D6D16" w:rsidRDefault="001D4308" w:rsidP="001D4308">
            <w:pPr>
              <w:spacing w:before="60" w:after="60"/>
              <w:rPr>
                <w:rFonts w:eastAsia="Times New Roman"/>
                <w:lang w:eastAsia="zh-CN"/>
              </w:rPr>
            </w:pPr>
          </w:p>
        </w:tc>
        <w:tc>
          <w:tcPr>
            <w:tcW w:w="960" w:type="pct"/>
            <w:vMerge w:val="restart"/>
            <w:hideMark/>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240</w:t>
            </w:r>
          </w:p>
        </w:tc>
        <w:tc>
          <w:tcPr>
            <w:tcW w:w="961" w:type="pct"/>
            <w:hideMark/>
          </w:tcPr>
          <w:p w:rsidR="001D4308" w:rsidRPr="009D6D16" w:rsidRDefault="001D4308" w:rsidP="001D4308">
            <w:pPr>
              <w:pStyle w:val="TAC"/>
              <w:spacing w:before="60" w:after="60"/>
              <w:rPr>
                <w:rFonts w:ascii="Times New Roman" w:hAnsi="Times New Roman"/>
                <w:sz w:val="20"/>
              </w:rPr>
            </w:pPr>
            <w:r w:rsidRPr="009D6D16">
              <w:rPr>
                <w:rFonts w:ascii="Times New Roman" w:hAnsi="Times New Roman"/>
                <w:sz w:val="20"/>
                <w:lang w:eastAsia="zh-CN"/>
              </w:rPr>
              <w:t>60</w:t>
            </w:r>
          </w:p>
        </w:tc>
        <w:tc>
          <w:tcPr>
            <w:tcW w:w="1352" w:type="pct"/>
            <w:hideMark/>
          </w:tcPr>
          <w:p w:rsidR="001D4308" w:rsidRPr="001D4308" w:rsidRDefault="001D4308" w:rsidP="001D4308">
            <w:pPr>
              <w:keepNext/>
              <w:keepLines/>
              <w:spacing w:after="0"/>
              <w:jc w:val="center"/>
            </w:pPr>
            <w:r w:rsidRPr="001D4308">
              <w:t>3*64*T</w:t>
            </w:r>
            <w:r w:rsidRPr="001D4308">
              <w:rPr>
                <w:vertAlign w:val="subscript"/>
              </w:rPr>
              <w:t>c</w:t>
            </w:r>
          </w:p>
        </w:tc>
        <w:tc>
          <w:tcPr>
            <w:tcW w:w="929" w:type="pct"/>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0.098</w:t>
            </w:r>
          </w:p>
        </w:tc>
      </w:tr>
      <w:tr w:rsidR="001D4308" w:rsidRPr="009D6D16" w:rsidTr="00A337EA">
        <w:trPr>
          <w:jc w:val="center"/>
        </w:trPr>
        <w:tc>
          <w:tcPr>
            <w:tcW w:w="0" w:type="auto"/>
            <w:vMerge/>
            <w:hideMark/>
          </w:tcPr>
          <w:p w:rsidR="001D4308" w:rsidRPr="009D6D16" w:rsidRDefault="001D4308" w:rsidP="001D4308">
            <w:pPr>
              <w:spacing w:before="60" w:after="60"/>
              <w:rPr>
                <w:rFonts w:eastAsia="Times New Roman"/>
                <w:lang w:eastAsia="zh-CN"/>
              </w:rPr>
            </w:pPr>
          </w:p>
        </w:tc>
        <w:tc>
          <w:tcPr>
            <w:tcW w:w="0" w:type="auto"/>
            <w:vMerge/>
            <w:hideMark/>
          </w:tcPr>
          <w:p w:rsidR="001D4308" w:rsidRPr="009D6D16" w:rsidRDefault="001D4308" w:rsidP="001D4308">
            <w:pPr>
              <w:spacing w:before="60" w:after="60"/>
              <w:rPr>
                <w:rFonts w:eastAsia="Times New Roman"/>
                <w:lang w:eastAsia="zh-CN"/>
              </w:rPr>
            </w:pPr>
          </w:p>
        </w:tc>
        <w:tc>
          <w:tcPr>
            <w:tcW w:w="961" w:type="pct"/>
            <w:hideMark/>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120</w:t>
            </w:r>
          </w:p>
        </w:tc>
        <w:tc>
          <w:tcPr>
            <w:tcW w:w="1352" w:type="pct"/>
            <w:hideMark/>
          </w:tcPr>
          <w:p w:rsidR="001D4308" w:rsidRPr="001D4308" w:rsidRDefault="001D4308" w:rsidP="001D4308">
            <w:pPr>
              <w:keepNext/>
              <w:keepLines/>
              <w:spacing w:after="0"/>
              <w:jc w:val="center"/>
            </w:pPr>
            <w:r w:rsidRPr="001D4308">
              <w:t>3*64*T</w:t>
            </w:r>
            <w:r w:rsidRPr="001D4308">
              <w:rPr>
                <w:vertAlign w:val="subscript"/>
              </w:rPr>
              <w:t>c</w:t>
            </w:r>
          </w:p>
        </w:tc>
        <w:tc>
          <w:tcPr>
            <w:tcW w:w="929" w:type="pct"/>
          </w:tcPr>
          <w:p w:rsidR="001D4308" w:rsidRPr="009D6D16" w:rsidRDefault="001D4308" w:rsidP="001D4308">
            <w:pPr>
              <w:pStyle w:val="TAC"/>
              <w:spacing w:before="60" w:after="60"/>
              <w:rPr>
                <w:rFonts w:ascii="Times New Roman" w:hAnsi="Times New Roman"/>
                <w:sz w:val="20"/>
                <w:lang w:eastAsia="zh-CN"/>
              </w:rPr>
            </w:pPr>
            <w:r w:rsidRPr="009D6D16">
              <w:rPr>
                <w:rFonts w:ascii="Times New Roman" w:hAnsi="Times New Roman"/>
                <w:sz w:val="20"/>
                <w:lang w:eastAsia="zh-CN"/>
              </w:rPr>
              <w:t>0.098</w:t>
            </w:r>
          </w:p>
        </w:tc>
      </w:tr>
      <w:tr w:rsidR="00943D04" w:rsidRPr="009D6D16" w:rsidTr="00A337EA">
        <w:trPr>
          <w:jc w:val="center"/>
        </w:trPr>
        <w:tc>
          <w:tcPr>
            <w:tcW w:w="5000" w:type="pct"/>
            <w:gridSpan w:val="5"/>
          </w:tcPr>
          <w:p w:rsidR="00943D04" w:rsidRPr="009D6D16" w:rsidRDefault="00943D04" w:rsidP="001D4308">
            <w:pPr>
              <w:pStyle w:val="TAN"/>
              <w:rPr>
                <w:rFonts w:ascii="Times New Roman" w:hAnsi="Times New Roman"/>
                <w:sz w:val="20"/>
                <w:lang w:eastAsia="zh-CN"/>
              </w:rPr>
            </w:pPr>
            <w:r w:rsidRPr="009D6D16">
              <w:rPr>
                <w:rFonts w:ascii="Times New Roman" w:hAnsi="Times New Roman"/>
                <w:sz w:val="20"/>
                <w:lang w:eastAsia="ko-KR"/>
              </w:rPr>
              <w:t>NOTE</w:t>
            </w:r>
            <w:r w:rsidRPr="009D6D16">
              <w:rPr>
                <w:rFonts w:ascii="Times New Roman" w:hAnsi="Times New Roman"/>
                <w:sz w:val="20"/>
                <w:lang w:eastAsia="zh-CN"/>
              </w:rPr>
              <w:t xml:space="preserve"> 1</w:t>
            </w:r>
            <w:r>
              <w:rPr>
                <w:rFonts w:ascii="Times New Roman" w:hAnsi="Times New Roman"/>
                <w:sz w:val="20"/>
              </w:rPr>
              <w:t>:</w:t>
            </w:r>
            <w:r w:rsidRPr="009D6D16">
              <w:rPr>
                <w:rFonts w:ascii="Times New Roman" w:hAnsi="Times New Roman"/>
                <w:sz w:val="20"/>
              </w:rPr>
              <w:t xml:space="preserve"> T</w:t>
            </w:r>
            <w:r w:rsidRPr="009D6D16">
              <w:rPr>
                <w:rFonts w:ascii="Times New Roman" w:hAnsi="Times New Roman"/>
                <w:sz w:val="20"/>
                <w:vertAlign w:val="subscript"/>
              </w:rPr>
              <w:t>c</w:t>
            </w:r>
            <w:r w:rsidRPr="009D6D16">
              <w:rPr>
                <w:rFonts w:ascii="Times New Roman" w:hAnsi="Times New Roman"/>
                <w:sz w:val="20"/>
              </w:rPr>
              <w:t xml:space="preserve"> is the basic timing unit defined in TS 38.211</w:t>
            </w:r>
          </w:p>
        </w:tc>
      </w:tr>
    </w:tbl>
    <w:p w:rsidR="00421A33" w:rsidRPr="002F319B" w:rsidRDefault="00421A33" w:rsidP="00943D04">
      <w:pPr>
        <w:jc w:val="both"/>
        <w:rPr>
          <w:lang w:eastAsia="ja-JP" w:bidi="hi-IN"/>
        </w:rPr>
      </w:pPr>
    </w:p>
    <w:p w:rsidR="00FB0700" w:rsidRPr="002B14D5" w:rsidRDefault="00AF33CC" w:rsidP="00943D04">
      <w:pPr>
        <w:jc w:val="both"/>
        <w:rPr>
          <w:lang w:eastAsia="ja-JP" w:bidi="hi-IN"/>
        </w:rPr>
      </w:pPr>
      <w:r w:rsidRPr="00844D93">
        <w:rPr>
          <w:lang w:eastAsia="ja-JP" w:bidi="hi-IN"/>
        </w:rPr>
        <w:t>For Sync Ref UE synchronization</w:t>
      </w:r>
      <w:r w:rsidR="008B3A40">
        <w:rPr>
          <w:lang w:eastAsia="ja-JP" w:bidi="hi-IN"/>
        </w:rPr>
        <w:t xml:space="preserve"> case the timing a</w:t>
      </w:r>
      <w:r w:rsidR="008B3A40" w:rsidRPr="002B14D5">
        <w:rPr>
          <w:lang w:eastAsia="ja-JP" w:bidi="hi-IN"/>
        </w:rPr>
        <w:t xml:space="preserve">ccuracy </w:t>
      </w:r>
      <w:r w:rsidR="008B3A40">
        <w:rPr>
          <w:lang w:eastAsia="ja-JP" w:bidi="hi-IN"/>
        </w:rPr>
        <w:t>will depend on the eventual</w:t>
      </w:r>
      <w:r w:rsidR="008B3A40" w:rsidRPr="002B14D5">
        <w:rPr>
          <w:lang w:eastAsia="ja-JP" w:bidi="hi-IN"/>
        </w:rPr>
        <w:t xml:space="preserve"> on NR V2X </w:t>
      </w:r>
      <w:r w:rsidR="008B3A40">
        <w:rPr>
          <w:lang w:eastAsia="ja-JP" w:bidi="hi-IN"/>
        </w:rPr>
        <w:t>physical layer design which is not yet complete in RAN1</w:t>
      </w:r>
      <w:r w:rsidR="002B14D5">
        <w:rPr>
          <w:lang w:eastAsia="ja-JP" w:bidi="hi-IN"/>
        </w:rPr>
        <w:t>.</w:t>
      </w:r>
      <w:r w:rsidR="008B3A40">
        <w:rPr>
          <w:lang w:eastAsia="ja-JP" w:bidi="hi-IN"/>
        </w:rPr>
        <w:t xml:space="preserve"> Therefore the achievable accuracy cannot be assessed. </w:t>
      </w:r>
    </w:p>
    <w:p w:rsidR="000676D8" w:rsidRDefault="00E41DB4" w:rsidP="00943D04">
      <w:pPr>
        <w:jc w:val="both"/>
      </w:pPr>
      <w:r w:rsidRPr="002F319B">
        <w:rPr>
          <w:lang w:eastAsia="ja-JP" w:bidi="hi-IN"/>
        </w:rPr>
        <w:t xml:space="preserve">For GNSS based synchronization, </w:t>
      </w:r>
      <w:r w:rsidR="00F9559B" w:rsidRPr="002F319B">
        <w:rPr>
          <w:lang w:eastAsia="ja-JP" w:bidi="hi-IN"/>
        </w:rPr>
        <w:t>the values assumed for the LTE analysis could be reused for FR1</w:t>
      </w:r>
      <w:r w:rsidR="00E627BC" w:rsidRPr="002F319B">
        <w:rPr>
          <w:lang w:eastAsia="ja-JP" w:bidi="hi-IN"/>
        </w:rPr>
        <w:t xml:space="preserve"> </w:t>
      </w:r>
      <w:r w:rsidR="002F319B" w:rsidRPr="002F319B">
        <w:rPr>
          <w:lang w:eastAsia="ja-JP" w:bidi="hi-IN"/>
        </w:rPr>
        <w:t xml:space="preserve">(i.e. </w:t>
      </w:r>
      <w:r w:rsidR="002F319B" w:rsidRPr="002F319B">
        <w:rPr>
          <w:lang w:eastAsia="zh-CN"/>
        </w:rPr>
        <w:t>[12]</w:t>
      </w:r>
      <w:r w:rsidR="002F319B" w:rsidRPr="002F319B">
        <w:t>*</w:t>
      </w:r>
      <w:r w:rsidR="002F319B" w:rsidRPr="002F319B">
        <w:rPr>
          <w:lang w:eastAsia="zh-CN"/>
        </w:rPr>
        <w:t>64</w:t>
      </w:r>
      <w:r w:rsidR="002F319B" w:rsidRPr="002F319B">
        <w:t>*T</w:t>
      </w:r>
      <w:r w:rsidR="002F319B" w:rsidRPr="002F319B">
        <w:rPr>
          <w:vertAlign w:val="subscript"/>
        </w:rPr>
        <w:t>c</w:t>
      </w:r>
      <w:r w:rsidR="002F319B" w:rsidRPr="002F319B">
        <w:t>).</w:t>
      </w:r>
      <w:r w:rsidR="00AF33CC">
        <w:t xml:space="preserve"> For FR2, </w:t>
      </w:r>
      <w:r w:rsidR="0034713D">
        <w:t>in general case similar timing accuracy values could apply. Same time, “</w:t>
      </w:r>
      <w:r w:rsidR="0034713D" w:rsidRPr="001D4308">
        <w:t>12*64*T</w:t>
      </w:r>
      <w:r w:rsidR="0034713D" w:rsidRPr="001D4308">
        <w:rPr>
          <w:vertAlign w:val="subscript"/>
        </w:rPr>
        <w:t>c</w:t>
      </w:r>
      <w:r w:rsidR="0034713D">
        <w:t xml:space="preserve">” timing accuracy </w:t>
      </w:r>
      <w:r w:rsidR="000676D8">
        <w:t xml:space="preserve">may be insufficient </w:t>
      </w:r>
      <w:r w:rsidR="0034713D">
        <w:t xml:space="preserve">for FR2 operation and will cause asynchronous operation due to </w:t>
      </w:r>
      <w:r w:rsidR="000676D8">
        <w:t>short</w:t>
      </w:r>
      <w:r w:rsidR="0034713D">
        <w:t xml:space="preserve"> </w:t>
      </w:r>
      <w:r w:rsidR="000676D8">
        <w:t xml:space="preserve">OFDM </w:t>
      </w:r>
      <w:r w:rsidR="0034713D">
        <w:t>symbol duration</w:t>
      </w:r>
      <w:r w:rsidR="00F937A9">
        <w:t xml:space="preserve"> and CP (~</w:t>
      </w:r>
      <w:r w:rsidR="00F937A9">
        <w:rPr>
          <w:lang w:eastAsia="zh-CN"/>
        </w:rPr>
        <w:t>18</w:t>
      </w:r>
      <w:r w:rsidR="00F937A9" w:rsidRPr="002F319B">
        <w:t>*</w:t>
      </w:r>
      <w:r w:rsidR="00F937A9" w:rsidRPr="002F319B">
        <w:rPr>
          <w:lang w:eastAsia="zh-CN"/>
        </w:rPr>
        <w:t>64</w:t>
      </w:r>
      <w:r w:rsidR="00F937A9" w:rsidRPr="002F319B">
        <w:t>*T</w:t>
      </w:r>
      <w:r w:rsidR="00F937A9" w:rsidRPr="002F319B">
        <w:rPr>
          <w:vertAlign w:val="subscript"/>
        </w:rPr>
        <w:t>c</w:t>
      </w:r>
      <w:r w:rsidR="00F937A9">
        <w:rPr>
          <w:vertAlign w:val="subscript"/>
        </w:rPr>
        <w:t xml:space="preserve"> </w:t>
      </w:r>
      <w:r w:rsidR="00F937A9" w:rsidRPr="002679CE">
        <w:t>for 120 kHz SCS</w:t>
      </w:r>
      <w:r w:rsidR="00F937A9">
        <w:t>)</w:t>
      </w:r>
      <w:r w:rsidR="0034713D">
        <w:t>.</w:t>
      </w:r>
      <w:r w:rsidR="00446E69">
        <w:t xml:space="preserve"> The “</w:t>
      </w:r>
      <w:r w:rsidR="00446E69" w:rsidRPr="001D4308">
        <w:t>12*64*T</w:t>
      </w:r>
      <w:r w:rsidR="00446E69" w:rsidRPr="001D4308">
        <w:rPr>
          <w:vertAlign w:val="subscript"/>
        </w:rPr>
        <w:t>c</w:t>
      </w:r>
      <w:r w:rsidR="00446E69">
        <w:t xml:space="preserve">” </w:t>
      </w:r>
      <w:r w:rsidR="00F937A9">
        <w:t xml:space="preserve">GNSS </w:t>
      </w:r>
      <w:r w:rsidR="00446E69">
        <w:t xml:space="preserve">accuracy </w:t>
      </w:r>
      <w:r w:rsidR="00F937A9">
        <w:t xml:space="preserve">for LTE </w:t>
      </w:r>
      <w:r w:rsidR="00446E69">
        <w:t xml:space="preserve">was defined under assumption of </w:t>
      </w:r>
      <w:r w:rsidR="00F937A9">
        <w:t>weak</w:t>
      </w:r>
      <w:r w:rsidR="00446E69">
        <w:t xml:space="preserve"> RF conditions. </w:t>
      </w:r>
      <w:r w:rsidR="0034713D">
        <w:t xml:space="preserve">Assuming </w:t>
      </w:r>
      <w:r w:rsidR="0034713D" w:rsidRPr="00AF33CC">
        <w:t xml:space="preserve">good RF conditions </w:t>
      </w:r>
      <w:r w:rsidR="0034713D">
        <w:t>and dual frequency GNSS</w:t>
      </w:r>
      <w:r w:rsidR="00AF33CC" w:rsidRPr="00AF33CC">
        <w:t xml:space="preserve"> </w:t>
      </w:r>
      <w:r w:rsidR="0034713D">
        <w:t xml:space="preserve">receivers </w:t>
      </w:r>
      <w:r w:rsidR="000676D8">
        <w:t xml:space="preserve">it is possible to achieve </w:t>
      </w:r>
      <w:r w:rsidR="0034713D">
        <w:t xml:space="preserve">±3.5 </w:t>
      </w:r>
      <w:proofErr w:type="spellStart"/>
      <w:r w:rsidR="0034713D">
        <w:t>T</w:t>
      </w:r>
      <w:r w:rsidR="0034713D">
        <w:rPr>
          <w:vertAlign w:val="subscript"/>
        </w:rPr>
        <w:t>s</w:t>
      </w:r>
      <w:proofErr w:type="spellEnd"/>
      <w:r w:rsidR="0034713D">
        <w:t xml:space="preserve"> </w:t>
      </w:r>
      <w:r w:rsidR="000676D8">
        <w:t xml:space="preserve">timing accuracy </w:t>
      </w:r>
      <w:r w:rsidR="0034713D">
        <w:t xml:space="preserve">(i.e. </w:t>
      </w:r>
      <w:r w:rsidR="000676D8">
        <w:t xml:space="preserve">align with </w:t>
      </w:r>
      <w:r w:rsidR="0034713D">
        <w:t>FR2 UL timing accuracy)</w:t>
      </w:r>
      <w:r w:rsidR="00AF33CC">
        <w:t>.</w:t>
      </w:r>
      <w:r w:rsidR="00AF33CC" w:rsidRPr="00AF33CC">
        <w:t xml:space="preserve"> </w:t>
      </w:r>
      <w:r w:rsidR="0034713D">
        <w:t xml:space="preserve">However, </w:t>
      </w:r>
      <w:r w:rsidR="000676D8">
        <w:t xml:space="preserve">it is questionable whether </w:t>
      </w:r>
      <w:r w:rsidR="00A25441" w:rsidRPr="002B14D5">
        <w:t>good condition</w:t>
      </w:r>
      <w:r w:rsidR="000676D8">
        <w:t>s can be always guaranteed and, hence</w:t>
      </w:r>
      <w:r w:rsidR="0034713D">
        <w:t xml:space="preserve">, the corresponding </w:t>
      </w:r>
      <w:r w:rsidR="002B14D5">
        <w:t xml:space="preserve">timing error </w:t>
      </w:r>
      <w:r w:rsidR="00A25441" w:rsidRPr="002B14D5">
        <w:t>may not be achievable</w:t>
      </w:r>
      <w:r w:rsidR="000676D8">
        <w:t xml:space="preserve"> all the time</w:t>
      </w:r>
      <w:r w:rsidR="00A25441" w:rsidRPr="002B14D5">
        <w:t>.</w:t>
      </w:r>
      <w:r w:rsidR="00CC7C2F">
        <w:t xml:space="preserve"> So, it is not recommended to mandate UE to meet such tight requirements all the time. In case GNSS based synchronization is planned to be used in FR2 further analysis of the timing accuracy requirements is needed including implication on physical structure.</w:t>
      </w:r>
    </w:p>
    <w:p w:rsidR="00E41DB4" w:rsidRPr="00844D93" w:rsidRDefault="00E41DB4" w:rsidP="00E41DB4">
      <w:pPr>
        <w:ind w:left="1276" w:hanging="1276"/>
        <w:jc w:val="both"/>
        <w:rPr>
          <w:b/>
        </w:rPr>
      </w:pPr>
      <w:r w:rsidRPr="00844D93">
        <w:rPr>
          <w:b/>
        </w:rPr>
        <w:lastRenderedPageBreak/>
        <w:t>Proposal #</w:t>
      </w:r>
      <w:r w:rsidR="002F319B">
        <w:rPr>
          <w:b/>
        </w:rPr>
        <w:t>2</w:t>
      </w:r>
      <w:r w:rsidR="00446E69">
        <w:rPr>
          <w:b/>
        </w:rPr>
        <w:t>:</w:t>
      </w:r>
      <w:r w:rsidR="00446E69">
        <w:rPr>
          <w:b/>
        </w:rPr>
        <w:tab/>
      </w:r>
      <w:r w:rsidR="00F937A9">
        <w:rPr>
          <w:b/>
        </w:rPr>
        <w:t xml:space="preserve">Inform RAN1 on the following </w:t>
      </w:r>
      <w:r w:rsidRPr="00844D93">
        <w:rPr>
          <w:b/>
        </w:rPr>
        <w:t>NR V2X timing error</w:t>
      </w:r>
      <w:r w:rsidR="00F937A9">
        <w:rPr>
          <w:b/>
        </w:rPr>
        <w:t xml:space="preserve"> assumptions:</w:t>
      </w:r>
      <w:r w:rsidRPr="00844D93">
        <w:rPr>
          <w:b/>
        </w:rPr>
        <w:t xml:space="preserve"> </w:t>
      </w:r>
    </w:p>
    <w:p w:rsidR="00E41DB4" w:rsidRPr="00844D93" w:rsidRDefault="002B14D5" w:rsidP="00023DD2">
      <w:pPr>
        <w:pStyle w:val="ListParagraph"/>
        <w:numPr>
          <w:ilvl w:val="0"/>
          <w:numId w:val="7"/>
        </w:numPr>
        <w:jc w:val="both"/>
        <w:rPr>
          <w:rFonts w:ascii="Times New Roman" w:eastAsia="SimSun" w:hAnsi="Times New Roman"/>
          <w:b/>
          <w:sz w:val="20"/>
          <w:szCs w:val="20"/>
          <w:lang w:val="en-GB"/>
        </w:rPr>
      </w:pPr>
      <w:proofErr w:type="spellStart"/>
      <w:r>
        <w:rPr>
          <w:rFonts w:ascii="Times New Roman" w:eastAsia="SimSun" w:hAnsi="Times New Roman"/>
          <w:b/>
          <w:sz w:val="20"/>
          <w:szCs w:val="20"/>
          <w:lang w:val="en-GB"/>
        </w:rPr>
        <w:t>gNB</w:t>
      </w:r>
      <w:proofErr w:type="spellEnd"/>
      <w:r>
        <w:rPr>
          <w:rFonts w:ascii="Times New Roman" w:eastAsia="SimSun" w:hAnsi="Times New Roman"/>
          <w:b/>
          <w:sz w:val="20"/>
          <w:szCs w:val="20"/>
          <w:lang w:val="en-GB"/>
        </w:rPr>
        <w:t xml:space="preserve"> synchronization </w:t>
      </w:r>
      <w:r w:rsidR="00F937A9">
        <w:rPr>
          <w:rFonts w:ascii="Times New Roman" w:eastAsia="SimSun" w:hAnsi="Times New Roman"/>
          <w:b/>
          <w:sz w:val="20"/>
          <w:szCs w:val="20"/>
          <w:lang w:val="en-GB"/>
        </w:rPr>
        <w:t>source</w:t>
      </w:r>
      <w:r>
        <w:rPr>
          <w:rFonts w:ascii="Times New Roman" w:eastAsia="SimSun" w:hAnsi="Times New Roman"/>
          <w:b/>
          <w:sz w:val="20"/>
          <w:szCs w:val="20"/>
          <w:lang w:val="en-GB"/>
        </w:rPr>
        <w:t xml:space="preserve">: </w:t>
      </w:r>
      <w:r w:rsidR="00F937A9">
        <w:rPr>
          <w:rFonts w:ascii="Times New Roman" w:eastAsia="SimSun" w:hAnsi="Times New Roman"/>
          <w:b/>
          <w:sz w:val="20"/>
          <w:szCs w:val="20"/>
          <w:lang w:val="en-GB"/>
        </w:rPr>
        <w:t xml:space="preserve">Reuse </w:t>
      </w:r>
      <w:r w:rsidR="002F319B">
        <w:rPr>
          <w:rFonts w:ascii="Times New Roman" w:eastAsia="SimSun" w:hAnsi="Times New Roman"/>
          <w:b/>
          <w:sz w:val="20"/>
          <w:szCs w:val="20"/>
          <w:lang w:val="en-GB"/>
        </w:rPr>
        <w:t xml:space="preserve">UL timing accuracy defined in TR 38.133 </w:t>
      </w:r>
      <w:r w:rsidR="00FB0700">
        <w:rPr>
          <w:rFonts w:ascii="Times New Roman" w:eastAsia="SimSun" w:hAnsi="Times New Roman"/>
          <w:b/>
          <w:sz w:val="20"/>
          <w:szCs w:val="20"/>
          <w:lang w:val="en-GB"/>
        </w:rPr>
        <w:t>for FR2</w:t>
      </w:r>
    </w:p>
    <w:p w:rsidR="00446E69" w:rsidRDefault="002F319B" w:rsidP="002B14D5">
      <w:pPr>
        <w:pStyle w:val="ListParagraph"/>
        <w:numPr>
          <w:ilvl w:val="0"/>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 xml:space="preserve">GNSS synchronization </w:t>
      </w:r>
      <w:r w:rsidR="00F937A9">
        <w:rPr>
          <w:rFonts w:ascii="Times New Roman" w:eastAsia="SimSun" w:hAnsi="Times New Roman"/>
          <w:b/>
          <w:sz w:val="20"/>
          <w:szCs w:val="20"/>
          <w:lang w:val="en-GB"/>
        </w:rPr>
        <w:t>source</w:t>
      </w:r>
      <w:r>
        <w:rPr>
          <w:rFonts w:ascii="Times New Roman" w:eastAsia="SimSun" w:hAnsi="Times New Roman"/>
          <w:b/>
          <w:sz w:val="20"/>
          <w:szCs w:val="20"/>
          <w:lang w:val="en-GB"/>
        </w:rPr>
        <w:t xml:space="preserve">: </w:t>
      </w:r>
    </w:p>
    <w:p w:rsidR="0034713D" w:rsidRDefault="00446E69" w:rsidP="002679CE">
      <w:pPr>
        <w:pStyle w:val="ListParagraph"/>
        <w:numPr>
          <w:ilvl w:val="1"/>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Timing accuracy depends on the RF conditions and receiver type</w:t>
      </w:r>
    </w:p>
    <w:p w:rsidR="00F937A9" w:rsidRPr="00CC7C2F" w:rsidRDefault="00F937A9" w:rsidP="002679CE">
      <w:pPr>
        <w:pStyle w:val="ListParagraph"/>
        <w:numPr>
          <w:ilvl w:val="1"/>
          <w:numId w:val="7"/>
        </w:numPr>
        <w:jc w:val="both"/>
        <w:rPr>
          <w:rFonts w:ascii="Times New Roman" w:eastAsia="SimSun" w:hAnsi="Times New Roman"/>
          <w:b/>
          <w:sz w:val="20"/>
          <w:szCs w:val="20"/>
          <w:lang w:val="en-GB"/>
        </w:rPr>
      </w:pPr>
      <w:r w:rsidRPr="00CC7C2F">
        <w:rPr>
          <w:rFonts w:ascii="Times New Roman" w:eastAsia="SimSun" w:hAnsi="Times New Roman"/>
          <w:b/>
          <w:sz w:val="20"/>
          <w:szCs w:val="20"/>
          <w:lang w:val="en-GB"/>
        </w:rPr>
        <w:t xml:space="preserve">The timing accuracy can be in the range from </w:t>
      </w:r>
      <w:r w:rsidRPr="002679CE">
        <w:rPr>
          <w:rFonts w:ascii="Times New Roman" w:eastAsia="SimSun" w:hAnsi="Times New Roman"/>
          <w:b/>
          <w:sz w:val="20"/>
          <w:szCs w:val="20"/>
          <w:lang w:val="en-GB"/>
        </w:rPr>
        <w:t>12*64*Tc</w:t>
      </w:r>
      <w:r w:rsidRPr="00CC7C2F">
        <w:rPr>
          <w:rFonts w:ascii="Times New Roman" w:eastAsia="SimSun" w:hAnsi="Times New Roman"/>
          <w:b/>
          <w:sz w:val="20"/>
          <w:szCs w:val="20"/>
          <w:lang w:val="en-GB"/>
        </w:rPr>
        <w:t xml:space="preserve"> (in weak conditions) to 3.5*64*Tc (in good conditions)</w:t>
      </w:r>
    </w:p>
    <w:p w:rsidR="00F937A9" w:rsidRDefault="00F937A9" w:rsidP="002679CE">
      <w:pPr>
        <w:pStyle w:val="ListParagraph"/>
        <w:numPr>
          <w:ilvl w:val="1"/>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For FR1 ±</w:t>
      </w:r>
      <w:r w:rsidRPr="00AF7922">
        <w:rPr>
          <w:rFonts w:ascii="Times New Roman" w:eastAsia="SimSun" w:hAnsi="Times New Roman"/>
          <w:b/>
          <w:sz w:val="20"/>
          <w:szCs w:val="20"/>
          <w:lang w:val="en-GB"/>
        </w:rPr>
        <w:t>12*64*Tc</w:t>
      </w:r>
      <w:r>
        <w:rPr>
          <w:rFonts w:ascii="Times New Roman" w:eastAsia="SimSun" w:hAnsi="Times New Roman"/>
          <w:b/>
          <w:sz w:val="20"/>
          <w:szCs w:val="20"/>
          <w:lang w:val="en-GB"/>
        </w:rPr>
        <w:t xml:space="preserve"> is recommended</w:t>
      </w:r>
    </w:p>
    <w:p w:rsidR="00CD2B04" w:rsidRPr="009C2D12" w:rsidRDefault="00CD2B04" w:rsidP="009C2D12">
      <w:pPr>
        <w:pStyle w:val="Heading1"/>
      </w:pPr>
      <w:r w:rsidRPr="009C2D12">
        <w:t>Conclusions</w:t>
      </w:r>
    </w:p>
    <w:p w:rsidR="00E41DB4" w:rsidRDefault="00E41DB4" w:rsidP="00E41DB4">
      <w:r w:rsidRPr="00A204ED">
        <w:t xml:space="preserve">In this contribution we provided </w:t>
      </w:r>
      <w:r w:rsidR="00AF33CC">
        <w:t xml:space="preserve">the views on the feasible UE </w:t>
      </w:r>
      <w:r w:rsidRPr="00A204ED">
        <w:t>RRM characteristics for NR V2X. In summary we make the following proposals:</w:t>
      </w:r>
    </w:p>
    <w:p w:rsidR="00A337EA" w:rsidRPr="003678C7" w:rsidRDefault="00A337EA" w:rsidP="00A337EA">
      <w:pPr>
        <w:ind w:left="1276" w:hanging="1276"/>
        <w:jc w:val="both"/>
        <w:rPr>
          <w:b/>
        </w:rPr>
      </w:pPr>
      <w:r w:rsidRPr="003678C7">
        <w:rPr>
          <w:b/>
        </w:rPr>
        <w:t xml:space="preserve">Observation #1: </w:t>
      </w:r>
      <w:r>
        <w:rPr>
          <w:b/>
        </w:rPr>
        <w:t xml:space="preserve">Depending on implementation </w:t>
      </w:r>
      <w:r w:rsidRPr="003678C7">
        <w:rPr>
          <w:b/>
        </w:rPr>
        <w:t xml:space="preserve">AGC settling time </w:t>
      </w:r>
      <w:r>
        <w:rPr>
          <w:b/>
        </w:rPr>
        <w:t>may depend on such factors as CBW</w:t>
      </w:r>
      <w:r w:rsidRPr="003678C7">
        <w:rPr>
          <w:b/>
        </w:rPr>
        <w:t>, number of Rx</w:t>
      </w:r>
      <w:r>
        <w:rPr>
          <w:b/>
        </w:rPr>
        <w:t xml:space="preserve"> chains</w:t>
      </w:r>
      <w:r w:rsidRPr="003678C7">
        <w:rPr>
          <w:b/>
        </w:rPr>
        <w:t xml:space="preserve">, and number of </w:t>
      </w:r>
      <w:r>
        <w:rPr>
          <w:b/>
        </w:rPr>
        <w:t>CCs</w:t>
      </w:r>
      <w:r w:rsidRPr="003678C7">
        <w:rPr>
          <w:b/>
        </w:rPr>
        <w:t>.</w:t>
      </w:r>
    </w:p>
    <w:p w:rsidR="00A337EA" w:rsidRDefault="00A337EA" w:rsidP="00A337EA">
      <w:pPr>
        <w:ind w:left="1276" w:hanging="1276"/>
        <w:jc w:val="both"/>
        <w:rPr>
          <w:b/>
        </w:rPr>
      </w:pPr>
      <w:r>
        <w:rPr>
          <w:b/>
        </w:rPr>
        <w:t>Proposal</w:t>
      </w:r>
      <w:r w:rsidRPr="003678C7">
        <w:rPr>
          <w:b/>
        </w:rPr>
        <w:t xml:space="preserve"> #1:</w:t>
      </w:r>
      <w:r>
        <w:rPr>
          <w:b/>
        </w:rPr>
        <w:tab/>
        <w:t xml:space="preserve">For NR V2X, the </w:t>
      </w:r>
      <w:r w:rsidRPr="003678C7">
        <w:rPr>
          <w:b/>
        </w:rPr>
        <w:t>AGC settling time</w:t>
      </w:r>
      <w:r>
        <w:rPr>
          <w:b/>
        </w:rPr>
        <w:t xml:space="preserve"> for FR1 shall be at least 35us.</w:t>
      </w:r>
    </w:p>
    <w:p w:rsidR="00A337EA" w:rsidRPr="00844D93" w:rsidRDefault="00A337EA" w:rsidP="00A337EA">
      <w:pPr>
        <w:ind w:left="1276" w:hanging="1276"/>
        <w:jc w:val="both"/>
        <w:rPr>
          <w:b/>
        </w:rPr>
      </w:pPr>
      <w:r w:rsidRPr="00844D93">
        <w:rPr>
          <w:b/>
        </w:rPr>
        <w:t>Proposal #</w:t>
      </w:r>
      <w:r>
        <w:rPr>
          <w:b/>
        </w:rPr>
        <w:t>2:</w:t>
      </w:r>
      <w:r>
        <w:rPr>
          <w:b/>
        </w:rPr>
        <w:tab/>
        <w:t xml:space="preserve">Inform RAN1 on the following </w:t>
      </w:r>
      <w:r w:rsidRPr="00844D93">
        <w:rPr>
          <w:b/>
        </w:rPr>
        <w:t>NR V2X timing error</w:t>
      </w:r>
      <w:r>
        <w:rPr>
          <w:b/>
        </w:rPr>
        <w:t xml:space="preserve"> assumptions:</w:t>
      </w:r>
      <w:r w:rsidRPr="00844D93">
        <w:rPr>
          <w:b/>
        </w:rPr>
        <w:t xml:space="preserve"> </w:t>
      </w:r>
    </w:p>
    <w:p w:rsidR="00A337EA" w:rsidRPr="00844D93" w:rsidRDefault="00A337EA" w:rsidP="00A337EA">
      <w:pPr>
        <w:pStyle w:val="ListParagraph"/>
        <w:numPr>
          <w:ilvl w:val="0"/>
          <w:numId w:val="7"/>
        </w:numPr>
        <w:jc w:val="both"/>
        <w:rPr>
          <w:rFonts w:ascii="Times New Roman" w:eastAsia="SimSun" w:hAnsi="Times New Roman"/>
          <w:b/>
          <w:sz w:val="20"/>
          <w:szCs w:val="20"/>
          <w:lang w:val="en-GB"/>
        </w:rPr>
      </w:pPr>
      <w:proofErr w:type="spellStart"/>
      <w:r>
        <w:rPr>
          <w:rFonts w:ascii="Times New Roman" w:eastAsia="SimSun" w:hAnsi="Times New Roman"/>
          <w:b/>
          <w:sz w:val="20"/>
          <w:szCs w:val="20"/>
          <w:lang w:val="en-GB"/>
        </w:rPr>
        <w:t>gNB</w:t>
      </w:r>
      <w:proofErr w:type="spellEnd"/>
      <w:r>
        <w:rPr>
          <w:rFonts w:ascii="Times New Roman" w:eastAsia="SimSun" w:hAnsi="Times New Roman"/>
          <w:b/>
          <w:sz w:val="20"/>
          <w:szCs w:val="20"/>
          <w:lang w:val="en-GB"/>
        </w:rPr>
        <w:t xml:space="preserve"> synchronization source: Reuse UL timing accuracy defined in TR 38.133 for FR2</w:t>
      </w:r>
    </w:p>
    <w:p w:rsidR="00A337EA" w:rsidRDefault="00A337EA" w:rsidP="00A337EA">
      <w:pPr>
        <w:pStyle w:val="ListParagraph"/>
        <w:numPr>
          <w:ilvl w:val="0"/>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 xml:space="preserve">GNSS synchronization source: </w:t>
      </w:r>
    </w:p>
    <w:p w:rsidR="00A337EA" w:rsidRDefault="00A337EA" w:rsidP="00A337EA">
      <w:pPr>
        <w:pStyle w:val="ListParagraph"/>
        <w:numPr>
          <w:ilvl w:val="1"/>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Timing accuracy depends on the RF conditions and receiver type</w:t>
      </w:r>
    </w:p>
    <w:p w:rsidR="00A337EA" w:rsidRPr="00CC7C2F" w:rsidRDefault="00A337EA" w:rsidP="00A337EA">
      <w:pPr>
        <w:pStyle w:val="ListParagraph"/>
        <w:numPr>
          <w:ilvl w:val="1"/>
          <w:numId w:val="7"/>
        </w:numPr>
        <w:jc w:val="both"/>
        <w:rPr>
          <w:rFonts w:ascii="Times New Roman" w:eastAsia="SimSun" w:hAnsi="Times New Roman"/>
          <w:b/>
          <w:sz w:val="20"/>
          <w:szCs w:val="20"/>
          <w:lang w:val="en-GB"/>
        </w:rPr>
      </w:pPr>
      <w:r w:rsidRPr="00CC7C2F">
        <w:rPr>
          <w:rFonts w:ascii="Times New Roman" w:eastAsia="SimSun" w:hAnsi="Times New Roman"/>
          <w:b/>
          <w:sz w:val="20"/>
          <w:szCs w:val="20"/>
          <w:lang w:val="en-GB"/>
        </w:rPr>
        <w:t xml:space="preserve">The timing accuracy can be in the range from </w:t>
      </w:r>
      <w:r w:rsidRPr="002679CE">
        <w:rPr>
          <w:rFonts w:ascii="Times New Roman" w:eastAsia="SimSun" w:hAnsi="Times New Roman"/>
          <w:b/>
          <w:sz w:val="20"/>
          <w:szCs w:val="20"/>
          <w:lang w:val="en-GB"/>
        </w:rPr>
        <w:t>12*64*Tc</w:t>
      </w:r>
      <w:r w:rsidRPr="00CC7C2F">
        <w:rPr>
          <w:rFonts w:ascii="Times New Roman" w:eastAsia="SimSun" w:hAnsi="Times New Roman"/>
          <w:b/>
          <w:sz w:val="20"/>
          <w:szCs w:val="20"/>
          <w:lang w:val="en-GB"/>
        </w:rPr>
        <w:t xml:space="preserve"> (in weak conditions) to 3.5*64*Tc (in good conditions)</w:t>
      </w:r>
    </w:p>
    <w:p w:rsidR="00A337EA" w:rsidRDefault="00A337EA" w:rsidP="00A337EA">
      <w:pPr>
        <w:pStyle w:val="ListParagraph"/>
        <w:numPr>
          <w:ilvl w:val="1"/>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For FR1 ±</w:t>
      </w:r>
      <w:r w:rsidRPr="00AF7922">
        <w:rPr>
          <w:rFonts w:ascii="Times New Roman" w:eastAsia="SimSun" w:hAnsi="Times New Roman"/>
          <w:b/>
          <w:sz w:val="20"/>
          <w:szCs w:val="20"/>
          <w:lang w:val="en-GB"/>
        </w:rPr>
        <w:t>12*64*Tc</w:t>
      </w:r>
      <w:r>
        <w:rPr>
          <w:rFonts w:ascii="Times New Roman" w:eastAsia="SimSun" w:hAnsi="Times New Roman"/>
          <w:b/>
          <w:sz w:val="20"/>
          <w:szCs w:val="20"/>
          <w:lang w:val="en-GB"/>
        </w:rPr>
        <w:t xml:space="preserve"> is recommended</w:t>
      </w:r>
    </w:p>
    <w:p w:rsidR="00CD2B04" w:rsidRPr="00EC03EF" w:rsidRDefault="00CD2B04" w:rsidP="009C2D12">
      <w:pPr>
        <w:pStyle w:val="Heading1"/>
        <w:numPr>
          <w:ilvl w:val="0"/>
          <w:numId w:val="0"/>
        </w:numPr>
        <w:rPr>
          <w:lang w:val="en-US"/>
        </w:rPr>
      </w:pPr>
      <w:r w:rsidRPr="00EC03EF">
        <w:t>References</w:t>
      </w:r>
    </w:p>
    <w:p w:rsidR="00E41DB4" w:rsidRDefault="00E41DB4" w:rsidP="00023DD2">
      <w:pPr>
        <w:widowControl w:val="0"/>
        <w:numPr>
          <w:ilvl w:val="0"/>
          <w:numId w:val="8"/>
        </w:numPr>
        <w:jc w:val="both"/>
      </w:pPr>
      <w:r w:rsidRPr="003C4D14">
        <w:t>R1-1810006</w:t>
      </w:r>
      <w:r w:rsidRPr="00313BF9">
        <w:t xml:space="preserve"> “</w:t>
      </w:r>
      <w:r w:rsidRPr="003C4D14">
        <w:t>LS on IBE model for V2X</w:t>
      </w:r>
      <w:r w:rsidRPr="00313BF9">
        <w:t>”</w:t>
      </w:r>
      <w:r>
        <w:t>,</w:t>
      </w:r>
      <w:r w:rsidRPr="00313BF9">
        <w:t xml:space="preserve"> </w:t>
      </w:r>
      <w:r w:rsidRPr="003C4D14">
        <w:t>RAN WG1, Ericsson</w:t>
      </w:r>
      <w:r>
        <w:t>, RAN1 #9</w:t>
      </w:r>
      <w:r w:rsidR="00B82070">
        <w:t>4</w:t>
      </w:r>
    </w:p>
    <w:p w:rsidR="00B82070" w:rsidRDefault="00B82070" w:rsidP="00B82070">
      <w:pPr>
        <w:widowControl w:val="0"/>
        <w:numPr>
          <w:ilvl w:val="0"/>
          <w:numId w:val="8"/>
        </w:numPr>
        <w:jc w:val="both"/>
      </w:pPr>
      <w:r w:rsidRPr="00B82070">
        <w:t>R4-1816666</w:t>
      </w:r>
      <w:r>
        <w:t>, “</w:t>
      </w:r>
      <w:r w:rsidRPr="00B82070">
        <w:t>Reply LS on NR V2X RF parameters for RAN1 physical layer design aspects</w:t>
      </w:r>
      <w:r>
        <w:t>”, LG, RAN4 #89</w:t>
      </w:r>
    </w:p>
    <w:p w:rsidR="00E41DB4" w:rsidRDefault="00E41DB4" w:rsidP="00023DD2">
      <w:pPr>
        <w:widowControl w:val="0"/>
        <w:numPr>
          <w:ilvl w:val="0"/>
          <w:numId w:val="8"/>
        </w:numPr>
        <w:jc w:val="both"/>
      </w:pPr>
      <w:r w:rsidRPr="00361739">
        <w:t>R4-140973</w:t>
      </w:r>
      <w:r>
        <w:t>, “</w:t>
      </w:r>
      <w:r w:rsidRPr="00361739">
        <w:t>AGC and Frequency Error for D2D</w:t>
      </w:r>
      <w:r w:rsidR="00B82070">
        <w:t>”, Qualcomm, RAN4 #70</w:t>
      </w:r>
    </w:p>
    <w:p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2F319B">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A9A" w:rsidRDefault="00934A9A">
      <w:r>
        <w:separator/>
      </w:r>
    </w:p>
  </w:endnote>
  <w:endnote w:type="continuationSeparator" w:id="0">
    <w:p w:rsidR="00934A9A" w:rsidRDefault="00934A9A">
      <w:r>
        <w:continuationSeparator/>
      </w:r>
    </w:p>
  </w:endnote>
  <w:endnote w:type="continuationNotice" w:id="1">
    <w:p w:rsidR="00934A9A" w:rsidRDefault="00934A9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B" w:rsidRDefault="003542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42BB" w:rsidRDefault="003542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B" w:rsidRPr="00DB1239" w:rsidRDefault="003542B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50EB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EB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A9A" w:rsidRDefault="00934A9A">
      <w:r>
        <w:separator/>
      </w:r>
    </w:p>
  </w:footnote>
  <w:footnote w:type="continuationSeparator" w:id="0">
    <w:p w:rsidR="00934A9A" w:rsidRDefault="00934A9A">
      <w:r>
        <w:continuationSeparator/>
      </w:r>
    </w:p>
  </w:footnote>
  <w:footnote w:type="continuationNotice" w:id="1">
    <w:p w:rsidR="00934A9A" w:rsidRDefault="00934A9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B" w:rsidRDefault="003542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A7A42"/>
    <w:multiLevelType w:val="hybridMultilevel"/>
    <w:tmpl w:val="11B48E9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4" w15:restartNumberingAfterBreak="0">
    <w:nsid w:val="17AB3136"/>
    <w:multiLevelType w:val="hybridMultilevel"/>
    <w:tmpl w:val="BA9A2B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0"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0"/>
  </w:num>
  <w:num w:numId="3">
    <w:abstractNumId w:val="12"/>
  </w:num>
  <w:num w:numId="4">
    <w:abstractNumId w:val="1"/>
  </w:num>
  <w:num w:numId="5">
    <w:abstractNumId w:val="8"/>
  </w:num>
  <w:num w:numId="6">
    <w:abstractNumId w:val="3"/>
  </w:num>
  <w:num w:numId="7">
    <w:abstractNumId w:val="18"/>
  </w:num>
  <w:num w:numId="8">
    <w:abstractNumId w:val="7"/>
  </w:num>
  <w:num w:numId="9">
    <w:abstractNumId w:val="6"/>
  </w:num>
  <w:num w:numId="10">
    <w:abstractNumId w:val="15"/>
  </w:num>
  <w:num w:numId="11">
    <w:abstractNumId w:val="17"/>
  </w:num>
  <w:num w:numId="12">
    <w:abstractNumId w:val="19"/>
  </w:num>
  <w:num w:numId="13">
    <w:abstractNumId w:val="21"/>
  </w:num>
  <w:num w:numId="14">
    <w:abstractNumId w:val="16"/>
  </w:num>
  <w:num w:numId="15">
    <w:abstractNumId w:val="2"/>
  </w:num>
  <w:num w:numId="16">
    <w:abstractNumId w:val="22"/>
  </w:num>
  <w:num w:numId="17">
    <w:abstractNumId w:val="23"/>
  </w:num>
  <w:num w:numId="18">
    <w:abstractNumId w:val="14"/>
  </w:num>
  <w:num w:numId="19">
    <w:abstractNumId w:val="13"/>
  </w:num>
  <w:num w:numId="20">
    <w:abstractNumId w:val="20"/>
  </w:num>
  <w:num w:numId="21">
    <w:abstractNumId w:val="9"/>
  </w:num>
  <w:num w:numId="22">
    <w:abstractNumId w:val="5"/>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6D8"/>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B3A"/>
    <w:rsid w:val="00132D74"/>
    <w:rsid w:val="00132E7E"/>
    <w:rsid w:val="00133067"/>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AB1"/>
    <w:rsid w:val="00146BC8"/>
    <w:rsid w:val="001473A6"/>
    <w:rsid w:val="00147C13"/>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5AD"/>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201"/>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0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9CE"/>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856"/>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3A24"/>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4D5"/>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3D"/>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A63"/>
    <w:rsid w:val="003654DA"/>
    <w:rsid w:val="003678C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7D9"/>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1EE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2F"/>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E69"/>
    <w:rsid w:val="00447134"/>
    <w:rsid w:val="00447486"/>
    <w:rsid w:val="0044782A"/>
    <w:rsid w:val="00450778"/>
    <w:rsid w:val="00450D3B"/>
    <w:rsid w:val="004518D5"/>
    <w:rsid w:val="004519BF"/>
    <w:rsid w:val="00451A88"/>
    <w:rsid w:val="00451B06"/>
    <w:rsid w:val="00451BEB"/>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519"/>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2F3D"/>
    <w:rsid w:val="005A320D"/>
    <w:rsid w:val="005A36E3"/>
    <w:rsid w:val="005A3A31"/>
    <w:rsid w:val="005A3B1E"/>
    <w:rsid w:val="005A40D5"/>
    <w:rsid w:val="005A4674"/>
    <w:rsid w:val="005A4999"/>
    <w:rsid w:val="005A4D6E"/>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390"/>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047"/>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0F"/>
    <w:rsid w:val="007509F9"/>
    <w:rsid w:val="00750A2B"/>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2742"/>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801"/>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A40"/>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4D09"/>
    <w:rsid w:val="008E517B"/>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C25"/>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8FD"/>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A9A"/>
    <w:rsid w:val="00934F8E"/>
    <w:rsid w:val="009355F0"/>
    <w:rsid w:val="009358ED"/>
    <w:rsid w:val="009359D2"/>
    <w:rsid w:val="00935B52"/>
    <w:rsid w:val="00935BD1"/>
    <w:rsid w:val="0093635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0EBC"/>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1CA"/>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4BF"/>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441"/>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7EA"/>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2DD"/>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4AA"/>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440"/>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09F"/>
    <w:rsid w:val="00AF13DC"/>
    <w:rsid w:val="00AF1414"/>
    <w:rsid w:val="00AF26BE"/>
    <w:rsid w:val="00AF28B0"/>
    <w:rsid w:val="00AF2D55"/>
    <w:rsid w:val="00AF2DED"/>
    <w:rsid w:val="00AF2E7C"/>
    <w:rsid w:val="00AF33C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070"/>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4F"/>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36B3"/>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28"/>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C2F"/>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BAB"/>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99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76D"/>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085C"/>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C5A"/>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6D8"/>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7A9"/>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700"/>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550C"/>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36EE6E-C30E-463D-BED4-1EDD75011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character" w:customStyle="1" w:styleId="CRCoverPageChar">
    <w:name w:val="CR Cover Page Char"/>
    <w:link w:val="CRCoverPage"/>
    <w:locked/>
    <w:rsid w:val="00AC244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3171423">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7534758">
      <w:bodyDiv w:val="1"/>
      <w:marLeft w:val="0"/>
      <w:marRight w:val="0"/>
      <w:marTop w:val="0"/>
      <w:marBottom w:val="0"/>
      <w:divBdr>
        <w:top w:val="none" w:sz="0" w:space="0" w:color="auto"/>
        <w:left w:val="none" w:sz="0" w:space="0" w:color="auto"/>
        <w:bottom w:val="none" w:sz="0" w:space="0" w:color="auto"/>
        <w:right w:val="none" w:sz="0" w:space="0" w:color="auto"/>
      </w:divBdr>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672249">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5930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56659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591E8F2-68F6-4EC8-8A61-FAB2ABD5AC26}">
  <ds:schemaRefs>
    <ds:schemaRef ds:uri="http://schemas.openxmlformats.org/officeDocument/2006/bibliography"/>
  </ds:schemaRefs>
</ds:datastoreItem>
</file>

<file path=customXml/itemProps5.xml><?xml version="1.0" encoding="utf-8"?>
<ds:datastoreItem xmlns:ds="http://schemas.openxmlformats.org/officeDocument/2006/customXml" ds:itemID="{20EEFE1B-B2E2-448D-B8F4-54C22FA4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1384</Words>
  <Characters>6858</Characters>
  <Application>Microsoft Office Word</Application>
  <DocSecurity>0</DocSecurity>
  <Lines>173</Lines>
  <Paragraphs>114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5</cp:revision>
  <cp:lastPrinted>2016-11-03T01:40:00Z</cp:lastPrinted>
  <dcterms:created xsi:type="dcterms:W3CDTF">2019-02-15T19:41:00Z</dcterms:created>
  <dcterms:modified xsi:type="dcterms:W3CDTF">2019-02-15T19:43:00Z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19:43:27Z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